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numbering.xml" ContentType="application/vnd.openxmlformats-officedocument.wordprocessingml.numbering+xml"/>
  <Override PartName="/docProps/core.xml" ContentType="application/vnd.openxmlformats-package.core-propertie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customXml/itemProps3.xml" ContentType="application/vnd.openxmlformats-officedocument.customXmlProperties+xml"/>
  <Override PartName="/word/footnotes.xml" ContentType="application/vnd.openxmlformats-officedocument.wordprocessingml.footnotes+xml"/>
  <Override PartName="/customXml/itemProps2.xml" ContentType="application/vnd.openxmlformats-officedocument.customXmlProperti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spacing w:before="120" w:after="60"/>
        <w:rPr>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highlight w:val="white"/>
        </w:rPr>
      </w:r>
      <w:r>
        <w:rPr>
          <w:color w:val="000000"/>
          <w:sz w:val="24"/>
          <w:szCs w:val="24"/>
          <w:highlight w:val="white"/>
        </w:rPr>
      </w:r>
      <w:r>
        <w:rPr>
          <w:color w:val="000000"/>
          <w:sz w:val="24"/>
          <w:szCs w:val="24"/>
          <w:highlight w:val="white"/>
        </w:rPr>
      </w:r>
    </w:p>
    <w:p>
      <w:pPr>
        <w:spacing w:before="120" w:after="60"/>
        <w:rPr>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highlight w:val="white"/>
        </w:rPr>
      </w:r>
      <w:r>
        <w:rPr>
          <w:color w:val="000000"/>
          <w:sz w:val="24"/>
          <w:szCs w:val="24"/>
          <w:highlight w:val="white"/>
        </w:rPr>
      </w:r>
      <w:r>
        <w:rPr>
          <w:color w:val="000000"/>
          <w:sz w:val="24"/>
          <w:szCs w:val="24"/>
          <w:highlight w:val="white"/>
        </w:rPr>
      </w:r>
    </w:p>
    <w:p>
      <w:pPr>
        <w:spacing w:before="120" w:after="60"/>
        <w:rPr>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highlight w:val="white"/>
        </w:rPr>
        <w:t xml:space="preserve">Информация о соответс</w:t>
      </w:r>
      <w:r>
        <w:rPr>
          <w:color w:val="000000"/>
          <w:sz w:val="24"/>
          <w:szCs w:val="24"/>
          <w:highlight w:val="white"/>
        </w:rPr>
        <w:t xml:space="preserve">твии полномочий, указанных в заявке на подключение пользователей перечню ролей доступа, настроенных для работы в подсистеме управления расходами государственной интегрированной информационной системы управления общественными финансами «Электронный бюджет».</w:t>
      </w:r>
      <w:r>
        <w:rPr>
          <w:color w:val="000000"/>
          <w:sz w:val="24"/>
          <w:szCs w:val="24"/>
          <w:highlight w:val="white"/>
        </w:rPr>
      </w:r>
      <w:r>
        <w:rPr>
          <w:color w:val="000000"/>
          <w:sz w:val="24"/>
          <w:szCs w:val="24"/>
          <w:highlight w:val="white"/>
        </w:rPr>
      </w:r>
    </w:p>
    <w:p>
      <w:pPr>
        <w:shd w:val="clear" w:color="auto" w:fill="ffffff"/>
        <w:rPr>
          <w:color w:val="000000"/>
          <w:highlight w:val="white"/>
        </w:rPr>
      </w:pPr>
      <w:r>
        <w:rPr>
          <w:color w:val="000000"/>
          <w:highlight w:val="white"/>
        </w:rPr>
      </w:r>
      <w:r>
        <w:rPr>
          <w:color w:val="000000"/>
          <w:highlight w:val="white"/>
        </w:rPr>
      </w:r>
      <w:r>
        <w:rPr>
          <w:color w:val="000000"/>
          <w:highlight w:val="white"/>
        </w:rPr>
      </w:r>
    </w:p>
    <w:p>
      <w:pPr>
        <w:shd w:val="clear" w:color="auto" w:fill="ffffff"/>
        <w:rPr>
          <w:color w:val="000000"/>
          <w:highlight w:val="white"/>
        </w:rPr>
      </w:pPr>
      <w:r>
        <w:rPr>
          <w:color w:val="000000"/>
          <w:highlight w:val="white"/>
        </w:rPr>
      </w:r>
      <w:r>
        <w:rPr>
          <w:color w:val="000000"/>
          <w:highlight w:val="white"/>
        </w:rPr>
      </w:r>
      <w:r>
        <w:rPr>
          <w:color w:val="000000"/>
          <w:highlight w:val="white"/>
        </w:rPr>
      </w:r>
    </w:p>
    <w:tbl>
      <w:tblPr>
        <w:tblStyle w:val="1470"/>
        <w:tblW w:w="9747" w:type="dxa"/>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34"/>
        <w:gridCol w:w="4239"/>
        <w:gridCol w:w="1856"/>
        <w:gridCol w:w="3118"/>
      </w:tblGrid>
      <w:tr>
        <w:tblPrEx/>
        <w:trPr>
          <w:trHeight w:val="947"/>
          <w:tblHeader/>
        </w:trPr>
        <w:tc>
          <w:tcPr>
            <w:shd w:val="clear" w:color="auto" w:fill="auto"/>
            <w:tcW w:w="534"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 п/п</w:t>
            </w:r>
            <w:r>
              <w:rPr>
                <w:b/>
                <w:color w:val="000000"/>
                <w:sz w:val="22"/>
                <w:szCs w:val="22"/>
                <w:highlight w:val="white"/>
              </w:rPr>
            </w:r>
            <w:r>
              <w:rPr>
                <w:b/>
                <w:color w:val="000000"/>
                <w:sz w:val="22"/>
                <w:szCs w:val="22"/>
                <w:highlight w:val="white"/>
              </w:rPr>
            </w:r>
          </w:p>
        </w:tc>
        <w:tc>
          <w:tcPr>
            <w:gridSpan w:val="2"/>
            <w:shd w:val="clear" w:color="auto" w:fill="auto"/>
            <w:tcMar>
              <w:left w:w="30" w:type="dxa"/>
              <w:top w:w="0" w:type="dxa"/>
              <w:right w:w="30" w:type="dxa"/>
              <w:bottom w:w="0" w:type="dxa"/>
            </w:tcMar>
            <w:tcW w:w="6095"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Полномочие</w:t>
            </w:r>
            <w:r>
              <w:rPr>
                <w:b/>
                <w:color w:val="000000"/>
                <w:sz w:val="22"/>
                <w:szCs w:val="22"/>
                <w:highlight w:val="white"/>
              </w:rPr>
            </w:r>
            <w:r>
              <w:rPr>
                <w:b/>
                <w:color w:val="000000"/>
                <w:sz w:val="22"/>
                <w:szCs w:val="22"/>
                <w:highlight w:val="white"/>
              </w:rPr>
            </w:r>
          </w:p>
        </w:tc>
        <w:tc>
          <w:tcPr>
            <w:shd w:val="clear" w:color="auto" w:fill="auto"/>
            <w:tcW w:w="3118"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Код роли доступа в системе «Электронный бюджет»</w:t>
            </w:r>
            <w:r>
              <w:rPr>
                <w:b/>
                <w:color w:val="000000"/>
                <w:sz w:val="22"/>
                <w:szCs w:val="22"/>
                <w:highlight w:val="white"/>
              </w:rPr>
            </w:r>
            <w:r>
              <w:rPr>
                <w:b/>
                <w:color w:val="000000"/>
                <w:sz w:val="22"/>
                <w:szCs w:val="22"/>
                <w:highlight w:val="white"/>
              </w:rPr>
            </w:r>
          </w:p>
        </w:tc>
      </w:tr>
      <w:tr>
        <w:tblPrEx/>
        <w:trPr>
          <w:trHeight w:val="200"/>
        </w:trPr>
        <w:tc>
          <w:tcPr>
            <w:gridSpan w:val="4"/>
            <w:tcW w:w="9747" w:type="dxa"/>
            <w:textDirection w:val="lrTb"/>
            <w:noWrap w:val="false"/>
          </w:tcPr>
          <w:p>
            <w:pPr>
              <w:ind w:left="57" w:right="57"/>
              <w:jc w:val="center"/>
              <w:spacing w:before="120" w:after="120"/>
              <w:rPr>
                <w:b/>
                <w:color w:val="000000"/>
                <w:highlight w:val="white"/>
              </w:rPr>
            </w:pPr>
            <w:r>
              <w:rPr>
                <w:b/>
                <w:color w:val="000000"/>
                <w:highlight w:val="white"/>
              </w:rPr>
              <w:t xml:space="preserve">Для главных распорядителей бюджетных средств федерального бюджета (далее – ГРБС) и главных администраторов источников финансирования дефицита федерального бюджета (далее – ГАИФ)</w:t>
            </w:r>
            <w:r>
              <w:rPr>
                <w:b/>
                <w:color w:val="000000"/>
                <w:highlight w:val="white"/>
              </w:rPr>
            </w:r>
            <w:r>
              <w:rPr>
                <w:b/>
                <w:color w:val="000000"/>
                <w:highlight w:val="white"/>
              </w:rPr>
            </w:r>
          </w:p>
        </w:tc>
      </w:tr>
      <w:tr>
        <w:tblPrEx/>
        <w:trPr>
          <w:trHeight w:val="794"/>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Распределение и доведение бюджетных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1856" w:type="dxa"/>
            <w:vAlign w:val="center"/>
            <w:vMerge w:val="restart"/>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Borders>
              <w:bottom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РР.001 </w:t>
            </w:r>
            <w:r>
              <w:rPr>
                <w:color w:val="000000"/>
                <w:sz w:val="22"/>
                <w:szCs w:val="22"/>
                <w:highlight w:val="white"/>
              </w:rPr>
              <w:t xml:space="preserve">ГРБС.Ввод</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Borders>
              <w:top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РР.013 </w:t>
            </w:r>
            <w:r>
              <w:rPr>
                <w:color w:val="000000"/>
                <w:sz w:val="22"/>
                <w:szCs w:val="22"/>
                <w:highlight w:val="white"/>
              </w:rPr>
              <w:t xml:space="preserve">ГАИФ.Ввод</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vMerge w:val="restart"/>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Borders>
              <w:bottom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РР.004 </w:t>
            </w:r>
            <w:r>
              <w:rPr>
                <w:color w:val="000000"/>
                <w:sz w:val="22"/>
                <w:szCs w:val="22"/>
                <w:highlight w:val="white"/>
              </w:rPr>
              <w:t xml:space="preserve">ГРБС.Просмотр</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Borders>
              <w:top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РР.016 </w:t>
            </w:r>
            <w:r>
              <w:rPr>
                <w:color w:val="000000"/>
                <w:sz w:val="22"/>
                <w:szCs w:val="22"/>
                <w:highlight w:val="white"/>
              </w:rPr>
              <w:t xml:space="preserve">ГАИФ.Просмотр</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vMerge w:val="restart"/>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tcBorders>
              <w:bottom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РР.002 </w:t>
            </w:r>
            <w:r>
              <w:rPr>
                <w:color w:val="000000"/>
                <w:sz w:val="22"/>
                <w:szCs w:val="22"/>
                <w:highlight w:val="white"/>
              </w:rPr>
              <w:t xml:space="preserve">ГРБС.Согласование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Borders>
              <w:top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РР.014 </w:t>
            </w:r>
            <w:r>
              <w:rPr>
                <w:color w:val="000000"/>
                <w:sz w:val="22"/>
                <w:szCs w:val="22"/>
                <w:highlight w:val="white"/>
              </w:rPr>
              <w:t xml:space="preserve">ГАИФ.Согласование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распределению и доведению бюджетных данных</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56" w:type="dxa"/>
            <w:vAlign w:val="center"/>
            <w:vMerge w:val="restart"/>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tcBorders>
              <w:bottom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РР.003 </w:t>
            </w:r>
            <w:r>
              <w:rPr>
                <w:color w:val="000000"/>
                <w:sz w:val="22"/>
                <w:szCs w:val="22"/>
                <w:highlight w:val="white"/>
              </w:rPr>
              <w:t xml:space="preserve">ГРБС.Утверждение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ffffff"/>
            <w:tcMar>
              <w:left w:w="30" w:type="dxa"/>
              <w:top w:w="0" w:type="dxa"/>
              <w:right w:w="30" w:type="dxa"/>
              <w:bottom w:w="0" w:type="dxa"/>
            </w:tcMar>
            <w:tcW w:w="1856"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Borders>
              <w:top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РР.015 </w:t>
            </w:r>
            <w:r>
              <w:rPr>
                <w:color w:val="000000"/>
                <w:sz w:val="22"/>
                <w:szCs w:val="22"/>
                <w:highlight w:val="white"/>
              </w:rPr>
              <w:t xml:space="preserve">ГАИФ.Утверждение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794"/>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сведений о бюджетных обязательствах и сведений, включаемых в реестр соглашений (договоров) о предоставлении субсидий, бюджетных инвестиций, межбюджетных трансфертов (далее - реестр соглашений, сведения о соглашении)</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1856" w:type="dxa"/>
            <w:vAlign w:val="center"/>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РС.001 Ввод дан</w:t>
            </w:r>
            <w:r>
              <w:rPr>
                <w:color w:val="000000"/>
                <w:sz w:val="22"/>
                <w:szCs w:val="22"/>
                <w:highlight w:val="white"/>
              </w:rPr>
              <w:t xml:space="preserve">ных СБО (ГРБС)</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РС.004 Просмотр СБО (ГРБС)</w:t>
            </w:r>
            <w:r>
              <w:rPr>
                <w:color w:val="000000"/>
                <w:sz w:val="22"/>
                <w:szCs w:val="22"/>
                <w:highlight w:val="white"/>
              </w:rPr>
            </w:r>
            <w:r>
              <w:rPr>
                <w:color w:val="000000"/>
                <w:sz w:val="22"/>
                <w:szCs w:val="22"/>
                <w:highlight w:val="white"/>
              </w:rPr>
            </w:r>
          </w:p>
        </w:tc>
      </w:tr>
      <w:tr>
        <w:tblPrEx/>
        <w:trPr>
          <w:trHeight w:val="794"/>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ffffff"/>
            <w:tcMar>
              <w:left w:w="30" w:type="dxa"/>
              <w:top w:w="0" w:type="dxa"/>
              <w:right w:w="30" w:type="dxa"/>
              <w:bottom w:w="0" w:type="dxa"/>
            </w:tcMar>
            <w:tcW w:w="1856" w:type="dxa"/>
            <w:vAlign w:val="center"/>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РС.005 Согласование данных СБО (ГРБС)</w:t>
            </w:r>
            <w:r>
              <w:rPr>
                <w:color w:val="000000"/>
                <w:sz w:val="22"/>
                <w:szCs w:val="22"/>
                <w:highlight w:val="white"/>
              </w:rPr>
            </w:r>
            <w:r>
              <w:rPr>
                <w:color w:val="000000"/>
                <w:sz w:val="22"/>
                <w:szCs w:val="22"/>
                <w:highlight w:val="white"/>
              </w:rPr>
            </w:r>
          </w:p>
        </w:tc>
      </w:tr>
      <w:tr>
        <w:tblPrEx/>
        <w:trPr>
          <w:trHeight w:val="794"/>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сведений о бюджетных обязательствах и сведений о соглашении</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56" w:type="dxa"/>
            <w:vAlign w:val="center"/>
            <w:textDirection w:val="lrTb"/>
            <w:noWrap w:val="false"/>
          </w:tcPr>
          <w:p>
            <w:pPr>
              <w:ind w:left="57" w:right="57" w:hanging="57"/>
              <w:jc w:val="center"/>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РС.002 Утверждение СБО (ГРБС)</w:t>
            </w:r>
            <w:r>
              <w:rPr>
                <w:color w:val="000000"/>
                <w:sz w:val="22"/>
                <w:szCs w:val="22"/>
                <w:highlight w:val="white"/>
              </w:rPr>
            </w:r>
            <w:r>
              <w:rPr>
                <w:color w:val="000000"/>
                <w:sz w:val="22"/>
                <w:szCs w:val="22"/>
                <w:highlight w:val="white"/>
              </w:rPr>
            </w:r>
          </w:p>
        </w:tc>
      </w:tr>
      <w:tr>
        <w:tblPrEx/>
        <w:trPr>
          <w:trHeight w:val="200"/>
        </w:trPr>
        <w:tc>
          <w:tcPr>
            <w:gridSpan w:val="4"/>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Для р</w:t>
            </w:r>
            <w:r>
              <w:rPr>
                <w:b/>
                <w:color w:val="000000"/>
                <w:highlight w:val="white"/>
              </w:rPr>
              <w:t xml:space="preserve">аспорядителей бюджетных средств федерального бюджета (далее – РБС) и администраторов источников финансирования дефицита бюджета с полномочиями главного администратора источников финансирования дефицита федерального бюджета (далее - АИФ с полномочиями ГАИФ)</w:t>
            </w:r>
            <w:r>
              <w:rPr>
                <w:b/>
                <w:color w:val="000000"/>
                <w:highlight w:val="white"/>
              </w:rPr>
            </w:r>
            <w:r>
              <w:rPr>
                <w:b/>
                <w:color w:val="000000"/>
                <w:highlight w:val="white"/>
              </w:rPr>
            </w:r>
          </w:p>
        </w:tc>
      </w:tr>
      <w:tr>
        <w:tblPrEx/>
        <w:trPr>
          <w:trHeight w:val="567"/>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Распределение и доведение бюджетных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РР.005 </w:t>
            </w:r>
            <w:r>
              <w:rPr>
                <w:color w:val="000000"/>
                <w:sz w:val="22"/>
                <w:szCs w:val="22"/>
                <w:highlight w:val="white"/>
              </w:rPr>
              <w:t xml:space="preserve">РБС.Ввод</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РР.008 </w:t>
            </w:r>
            <w:r>
              <w:rPr>
                <w:color w:val="000000"/>
                <w:sz w:val="22"/>
                <w:szCs w:val="22"/>
                <w:highlight w:val="white"/>
              </w:rPr>
              <w:t xml:space="preserve">РБС.Просмотр</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РР.006 </w:t>
            </w:r>
            <w:r>
              <w:rPr>
                <w:color w:val="000000"/>
                <w:sz w:val="22"/>
                <w:szCs w:val="22"/>
                <w:highlight w:val="white"/>
              </w:rPr>
              <w:t xml:space="preserve">РБС.Согласование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567"/>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распределению и доведению бюджетных данных</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РР.007 </w:t>
            </w:r>
            <w:r>
              <w:rPr>
                <w:color w:val="000000"/>
                <w:sz w:val="22"/>
                <w:szCs w:val="22"/>
                <w:highlight w:val="white"/>
              </w:rPr>
              <w:t xml:space="preserve">РБС.Утверждение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200"/>
        </w:trPr>
        <w:tc>
          <w:tcPr>
            <w:gridSpan w:val="4"/>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Для получателей бюджетных средств федерального бюджета (далее – ПБС) </w:t>
            </w:r>
            <w:r>
              <w:rPr>
                <w:b/>
                <w:color w:val="000000"/>
                <w:highlight w:val="white"/>
              </w:rPr>
            </w:r>
            <w:r>
              <w:rPr>
                <w:b/>
                <w:color w:val="000000"/>
                <w:highlight w:val="white"/>
              </w:rPr>
            </w:r>
          </w:p>
        </w:tc>
      </w:tr>
      <w:tr>
        <w:tblPrEx/>
        <w:trPr>
          <w:trHeight w:val="567"/>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Детализация доведенных бюджетных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РР.009 </w:t>
            </w:r>
            <w:r>
              <w:rPr>
                <w:color w:val="000000"/>
                <w:sz w:val="22"/>
                <w:szCs w:val="22"/>
                <w:highlight w:val="white"/>
              </w:rPr>
              <w:t xml:space="preserve">ПБС.Ввод</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РР.012 </w:t>
            </w:r>
            <w:r>
              <w:rPr>
                <w:color w:val="000000"/>
                <w:sz w:val="22"/>
                <w:szCs w:val="22"/>
                <w:highlight w:val="white"/>
              </w:rPr>
              <w:t xml:space="preserve">ПБС.Просмотр</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РР.010 </w:t>
            </w:r>
            <w:r>
              <w:rPr>
                <w:color w:val="000000"/>
                <w:sz w:val="22"/>
                <w:szCs w:val="22"/>
                <w:highlight w:val="white"/>
              </w:rPr>
              <w:t xml:space="preserve">ПБС.Согласование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567"/>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детализации доведенных бюджетных данных</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РР.011 </w:t>
            </w:r>
            <w:r>
              <w:rPr>
                <w:color w:val="000000"/>
                <w:sz w:val="22"/>
                <w:szCs w:val="22"/>
                <w:highlight w:val="white"/>
              </w:rPr>
              <w:t xml:space="preserve">ПБС.Утверждение</w:t>
            </w:r>
            <w:r>
              <w:rPr>
                <w:color w:val="000000"/>
                <w:sz w:val="22"/>
                <w:szCs w:val="22"/>
                <w:highlight w:val="white"/>
              </w:rPr>
              <w:t xml:space="preserve"> данных</w:t>
            </w:r>
            <w:r>
              <w:rPr>
                <w:color w:val="000000"/>
                <w:sz w:val="22"/>
                <w:szCs w:val="22"/>
                <w:highlight w:val="white"/>
              </w:rPr>
            </w:r>
            <w:r>
              <w:rPr>
                <w:color w:val="000000"/>
                <w:sz w:val="22"/>
                <w:szCs w:val="22"/>
                <w:highlight w:val="white"/>
              </w:rPr>
            </w:r>
          </w:p>
        </w:tc>
      </w:tr>
      <w:tr>
        <w:tblPrEx/>
        <w:trPr>
          <w:trHeight w:val="567"/>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БО.001 </w:t>
            </w:r>
            <w:r>
              <w:rPr>
                <w:color w:val="000000"/>
                <w:sz w:val="22"/>
                <w:szCs w:val="22"/>
                <w:highlight w:val="white"/>
              </w:rPr>
              <w:t xml:space="preserve">Клиент.Ввод</w:t>
            </w:r>
            <w:r>
              <w:rPr>
                <w:color w:val="000000"/>
                <w:sz w:val="22"/>
                <w:szCs w:val="22"/>
                <w:highlight w:val="white"/>
              </w:rPr>
              <w:t xml:space="preserve"> данных СБО (ПБ</w:t>
            </w:r>
            <w:r>
              <w:rPr>
                <w:color w:val="000000"/>
                <w:sz w:val="22"/>
                <w:szCs w:val="22"/>
                <w:highlight w:val="white"/>
              </w:rPr>
              <w:t xml:space="preserve">С)</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БО.004 </w:t>
            </w:r>
            <w:r>
              <w:rPr>
                <w:color w:val="000000"/>
                <w:sz w:val="22"/>
                <w:szCs w:val="22"/>
                <w:highlight w:val="white"/>
              </w:rPr>
              <w:t xml:space="preserve">Клиент.Просмотр</w:t>
            </w:r>
            <w:r>
              <w:rPr>
                <w:color w:val="000000"/>
                <w:sz w:val="22"/>
                <w:szCs w:val="22"/>
                <w:highlight w:val="white"/>
              </w:rPr>
              <w:t xml:space="preserve"> СБО (ПБС)</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БО.002 </w:t>
            </w:r>
            <w:r>
              <w:rPr>
                <w:color w:val="000000"/>
                <w:sz w:val="22"/>
                <w:szCs w:val="22"/>
                <w:highlight w:val="white"/>
              </w:rPr>
              <w:t xml:space="preserve">Клиент.Согласование</w:t>
            </w:r>
            <w:r>
              <w:rPr>
                <w:color w:val="000000"/>
                <w:sz w:val="22"/>
                <w:szCs w:val="22"/>
                <w:highlight w:val="white"/>
              </w:rPr>
              <w:t xml:space="preserve"> данных СБО (ПБС)</w:t>
            </w:r>
            <w:r>
              <w:rPr>
                <w:color w:val="000000"/>
                <w:sz w:val="22"/>
                <w:szCs w:val="22"/>
                <w:highlight w:val="white"/>
              </w:rPr>
            </w:r>
            <w:r>
              <w:rPr>
                <w:color w:val="000000"/>
                <w:sz w:val="22"/>
                <w:szCs w:val="22"/>
                <w:highlight w:val="white"/>
              </w:rPr>
            </w:r>
          </w:p>
        </w:tc>
      </w:tr>
      <w:tr>
        <w:tblPrEx/>
        <w:trPr>
          <w:trHeight w:val="567"/>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textDirection w:val="lrTb"/>
            <w:noWrap w:val="false"/>
          </w:tcPr>
          <w:p>
            <w:pPr>
              <w:ind w:left="57" w:right="57" w:hanging="57"/>
              <w:jc w:val="left"/>
              <w:rPr>
                <w:color w:val="000000"/>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сведений о бюджетных обязательствах и сведений о денежных обязательствах</w:t>
            </w:r>
            <w:r>
              <w:rPr>
                <w:color w:val="000000"/>
                <w:sz w:val="22"/>
                <w:szCs w:val="22"/>
                <w:highlight w:val="yellow"/>
              </w:rPr>
            </w:r>
            <w:r>
              <w:rPr>
                <w:color w:val="000000"/>
                <w:sz w:val="22"/>
                <w:szCs w:val="22"/>
                <w:highlight w:val="yellow"/>
              </w:rPr>
            </w:r>
          </w:p>
        </w:tc>
        <w:tc>
          <w:tcPr>
            <w:shd w:val="clear" w:color="auto" w:fill="ffffff"/>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БО.003 </w:t>
            </w:r>
            <w:r>
              <w:rPr>
                <w:color w:val="000000"/>
                <w:sz w:val="22"/>
                <w:szCs w:val="22"/>
                <w:highlight w:val="white"/>
              </w:rPr>
              <w:t xml:space="preserve">Клиент.Утверждение</w:t>
            </w:r>
            <w:r>
              <w:rPr>
                <w:color w:val="000000"/>
                <w:sz w:val="22"/>
                <w:szCs w:val="22"/>
                <w:highlight w:val="white"/>
              </w:rPr>
              <w:t xml:space="preserve"> СБО (ПБС)</w:t>
            </w:r>
            <w:r>
              <w:rPr>
                <w:rStyle w:val="1325"/>
                <w:color w:val="000000"/>
                <w:sz w:val="22"/>
                <w:szCs w:val="22"/>
                <w:highlight w:val="yellow"/>
              </w:rPr>
              <w:footnoteReference w:customMarkFollows="1" w:id="2"/>
              <w:t xml:space="preserve">*</w:t>
            </w:r>
            <w:r>
              <w:rPr>
                <w:color w:val="000000"/>
                <w:sz w:val="22"/>
                <w:szCs w:val="22"/>
                <w:highlight w:val="yellow"/>
              </w:rPr>
            </w:r>
            <w:r>
              <w:rPr>
                <w:color w:val="000000"/>
                <w:sz w:val="22"/>
                <w:szCs w:val="22"/>
                <w:highlight w:val="yellow"/>
              </w:rPr>
            </w:r>
          </w:p>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К</w:t>
            </w:r>
            <w:r>
              <w:rPr>
                <w:color w:val="000000"/>
                <w:sz w:val="22"/>
                <w:szCs w:val="22"/>
                <w:highlight w:val="white"/>
              </w:rPr>
              <w:t xml:space="preserve">лиент.Уполномоченное_лицо_БО_ДО</w:t>
            </w:r>
            <w:r>
              <w:rPr>
                <w:color w:val="000000"/>
                <w:sz w:val="22"/>
                <w:szCs w:val="22"/>
                <w:highlight w:val="white"/>
              </w:rPr>
            </w:r>
            <w:r>
              <w:rPr>
                <w:color w:val="000000"/>
                <w:sz w:val="22"/>
                <w:szCs w:val="22"/>
                <w:highlight w:val="white"/>
              </w:rPr>
            </w:r>
          </w:p>
        </w:tc>
      </w:tr>
      <w:tr>
        <w:tblPrEx/>
        <w:trPr>
          <w:trHeight w:val="567"/>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платежных документов для осуществления операций со средствами во временном распоряжении</w:t>
            </w:r>
            <w:bookmarkStart w:id="0" w:name="_Ref75950160"/>
            <w:r>
              <w:rPr>
                <w:rStyle w:val="1325"/>
                <w:color w:val="000000"/>
                <w:sz w:val="22"/>
                <w:szCs w:val="22"/>
                <w:highlight w:val="white"/>
              </w:rPr>
              <w:footnoteReference w:id="3"/>
            </w:r>
            <w:bookmarkEnd w:id="0"/>
            <w:r>
              <w:rPr>
                <w:color w:val="000000"/>
                <w:sz w:val="22"/>
                <w:szCs w:val="22"/>
                <w:highlight w:val="white"/>
              </w:rPr>
            </w:r>
            <w:r>
              <w:rPr>
                <w:color w:val="000000"/>
                <w:sz w:val="22"/>
                <w:szCs w:val="22"/>
                <w:highlight w:val="white"/>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СВР.001.Клиент.Исполнитель</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30" w:type="dxa"/>
              <w:top w:w="0" w:type="dxa"/>
              <w:right w:w="30" w:type="dxa"/>
              <w:bottom w:w="0" w:type="dxa"/>
            </w:tcMar>
            <w:tcW w:w="3118" w:type="dxa"/>
            <w:vAlign w:val="center"/>
            <w:textDirection w:val="lrTb"/>
            <w:noWrap w:val="false"/>
          </w:tcPr>
          <w:p>
            <w:pPr>
              <w:ind w:left="57" w:right="57" w:hanging="57"/>
              <w:jc w:val="left"/>
              <w:tabs>
                <w:tab w:val="right" w:pos="3058" w:leader="none"/>
              </w:tabs>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СВР.007.Клиент.Просмотр</w:t>
            </w:r>
            <w:r>
              <w:rPr>
                <w:color w:val="000000"/>
                <w:sz w:val="22"/>
                <w:szCs w:val="22"/>
                <w:highlight w:val="white"/>
              </w:rPr>
              <w:tab/>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СВР.002.Клиент.Согласование</w:t>
            </w:r>
            <w:r>
              <w:rPr>
                <w:rStyle w:val="1325"/>
                <w:color w:val="000000"/>
                <w:sz w:val="22"/>
                <w:szCs w:val="22"/>
                <w:highlight w:val="white"/>
              </w:rPr>
              <w:footnoteReference w:id="4"/>
            </w:r>
            <w:r>
              <w:rPr>
                <w:color w:val="000000"/>
                <w:sz w:val="22"/>
                <w:szCs w:val="22"/>
                <w:highlight w:val="white"/>
              </w:rPr>
            </w:r>
            <w:r>
              <w:rPr>
                <w:color w:val="000000"/>
                <w:sz w:val="22"/>
                <w:szCs w:val="22"/>
                <w:highlight w:val="white"/>
              </w:rPr>
            </w:r>
          </w:p>
        </w:tc>
      </w:tr>
      <w:tr>
        <w:tblPrEx/>
        <w:trPr>
          <w:trHeight w:val="567"/>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textDirection w:val="lrTb"/>
            <w:noWrap w:val="false"/>
          </w:tcPr>
          <w:p>
            <w:pPr>
              <w:ind w:left="57" w:right="57" w:hanging="57"/>
              <w:jc w:val="left"/>
              <w:rPr>
                <w:color w:val="000000"/>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платежных документов с правом первой подписи</w:t>
            </w:r>
            <w:r>
              <w:rPr>
                <w:color w:val="000000"/>
                <w:sz w:val="22"/>
                <w:szCs w:val="22"/>
                <w:highlight w:val="yellow"/>
              </w:rPr>
            </w:r>
            <w:r>
              <w:rPr>
                <w:color w:val="000000"/>
                <w:sz w:val="22"/>
                <w:szCs w:val="22"/>
                <w:highlight w:val="yellow"/>
              </w:rPr>
            </w:r>
          </w:p>
        </w:tc>
        <w:tc>
          <w:tcPr>
            <w:shd w:val="clear" w:color="auto" w:fill="ffffff"/>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БО.003 </w:t>
            </w:r>
            <w:r>
              <w:rPr>
                <w:color w:val="000000"/>
                <w:sz w:val="22"/>
                <w:szCs w:val="22"/>
                <w:highlight w:val="white"/>
              </w:rPr>
              <w:t xml:space="preserve">Клиент.Утверждение</w:t>
            </w:r>
            <w:r>
              <w:rPr>
                <w:color w:val="000000"/>
                <w:sz w:val="22"/>
                <w:szCs w:val="22"/>
                <w:highlight w:val="white"/>
              </w:rPr>
              <w:t xml:space="preserve"> СБО (ПБС)</w:t>
            </w:r>
            <w:r>
              <w:rPr>
                <w:rStyle w:val="1325"/>
                <w:color w:val="000000"/>
                <w:sz w:val="22"/>
                <w:szCs w:val="22"/>
                <w:highlight w:val="yellow"/>
              </w:rPr>
              <w:footnoteReference w:customMarkFollows="1" w:id="5"/>
              <w:t xml:space="preserve">*</w:t>
            </w:r>
            <w:r>
              <w:rPr>
                <w:color w:val="000000"/>
                <w:sz w:val="22"/>
                <w:szCs w:val="22"/>
                <w:highlight w:val="white"/>
              </w:rPr>
            </w:r>
            <w:r>
              <w:rPr>
                <w:color w:val="000000"/>
                <w:sz w:val="22"/>
                <w:szCs w:val="22"/>
                <w:highlight w:val="white"/>
              </w:rPr>
            </w:r>
          </w:p>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СВР.003.Клиент.Утверждение</w:t>
            </w:r>
            <w:r>
              <w:rPr>
                <w:rStyle w:val="1325"/>
                <w:color w:val="000000"/>
                <w:sz w:val="22"/>
                <w:szCs w:val="22"/>
                <w:highlight w:val="yellow"/>
              </w:rPr>
              <w:fldChar w:fldCharType="begin"/>
            </w:r>
            <w:r>
              <w:rPr>
                <w:rStyle w:val="1325"/>
                <w:highlight w:val="yellow"/>
              </w:rPr>
              <w:instrText xml:space="preserve"> NOTEREF _Ref75950160 \h </w:instrText>
            </w:r>
            <w:r>
              <w:rPr>
                <w:rStyle w:val="1325"/>
                <w:color w:val="000000"/>
                <w:sz w:val="22"/>
                <w:szCs w:val="22"/>
                <w:highlight w:val="yellow"/>
              </w:rPr>
              <w:instrText xml:space="preserve"> \* MERGEFORMAT </w:instrText>
            </w:r>
            <w:r>
              <w:rPr>
                <w:rStyle w:val="1325"/>
                <w:color w:val="000000"/>
                <w:sz w:val="22"/>
                <w:szCs w:val="22"/>
                <w:highlight w:val="yellow"/>
              </w:rPr>
              <w:fldChar w:fldCharType="separate"/>
            </w:r>
            <w:r>
              <w:rPr>
                <w:rStyle w:val="1325"/>
                <w:highlight w:val="yellow"/>
              </w:rPr>
              <w:t xml:space="preserve">1</w:t>
            </w:r>
            <w:r>
              <w:rPr>
                <w:rStyle w:val="1325"/>
                <w:color w:val="000000"/>
                <w:sz w:val="22"/>
                <w:szCs w:val="22"/>
                <w:highlight w:val="yellow"/>
              </w:rPr>
              <w:fldChar w:fldCharType="end"/>
            </w:r>
            <w:r>
              <w:rPr>
                <w:rStyle w:val="1325"/>
                <w:color w:val="000000"/>
                <w:sz w:val="22"/>
                <w:szCs w:val="22"/>
                <w:highlight w:val="yellow"/>
              </w:rPr>
              <w:footnoteReference w:customMarkFollows="1" w:id="6"/>
              <w:t xml:space="preserve">*</w:t>
            </w:r>
            <w:r>
              <w:rPr>
                <w:color w:val="000000"/>
                <w:sz w:val="22"/>
                <w:szCs w:val="22"/>
                <w:highlight w:val="white"/>
              </w:rPr>
            </w:r>
            <w:r>
              <w:rPr>
                <w:color w:val="000000"/>
                <w:sz w:val="22"/>
                <w:szCs w:val="22"/>
                <w:highlight w:val="white"/>
              </w:rPr>
            </w:r>
          </w:p>
        </w:tc>
      </w:tr>
      <w:tr>
        <w:tblPrEx/>
        <w:trPr>
          <w:trHeight w:val="794"/>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39" w:type="dxa"/>
            <w:vAlign w:val="center"/>
            <w:textDirection w:val="lrTb"/>
            <w:noWrap w:val="false"/>
          </w:tcPr>
          <w:p>
            <w:pPr>
              <w:ind w:left="57" w:right="57" w:hanging="57"/>
              <w:jc w:val="left"/>
              <w:rPr>
                <w:color w:val="000000"/>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платежных документов с правом второй подписи</w:t>
            </w:r>
            <w:r>
              <w:rPr>
                <w:color w:val="000000"/>
                <w:sz w:val="22"/>
                <w:szCs w:val="22"/>
                <w:highlight w:val="yellow"/>
              </w:rPr>
            </w:r>
            <w:r>
              <w:rPr>
                <w:color w:val="000000"/>
                <w:sz w:val="22"/>
                <w:szCs w:val="22"/>
                <w:highlight w:val="yellow"/>
              </w:rPr>
            </w:r>
          </w:p>
        </w:tc>
        <w:tc>
          <w:tcPr>
            <w:shd w:val="clear" w:color="auto" w:fill="ffffff"/>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ПУР. Главный бухгалтер. Клиент</w:t>
            </w:r>
            <w:r>
              <w:rPr>
                <w:rStyle w:val="1325"/>
                <w:color w:val="000000"/>
                <w:sz w:val="22"/>
                <w:szCs w:val="22"/>
                <w:highlight w:val="yellow"/>
              </w:rPr>
              <w:footnoteReference w:customMarkFollows="1" w:id="7"/>
              <w:t xml:space="preserve">*</w:t>
            </w:r>
            <w:r>
              <w:rPr>
                <w:color w:val="000000"/>
                <w:sz w:val="22"/>
                <w:szCs w:val="22"/>
                <w:highlight w:val="white"/>
              </w:rPr>
            </w:r>
            <w:r>
              <w:rPr>
                <w:color w:val="000000"/>
                <w:sz w:val="22"/>
                <w:szCs w:val="22"/>
                <w:highlight w:val="white"/>
              </w:rPr>
            </w:r>
          </w:p>
        </w:tc>
      </w:tr>
      <w:tr>
        <w:tblPrEx/>
        <w:trPr>
          <w:trHeight w:val="567"/>
        </w:trPr>
        <w:tc>
          <w:tcPr>
            <w:tcW w:w="534" w:type="dxa"/>
            <w:vMerge w:val="restart"/>
            <w:textDirection w:val="lrTb"/>
            <w:noWrap w:val="false"/>
          </w:tcPr>
          <w:p>
            <w:pPr>
              <w:numPr>
                <w:ilvl w:val="0"/>
                <w:numId w:val="1"/>
              </w:numPr>
              <w:ind w:lef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4239" w:type="dxa"/>
            <w:vAlign w:val="center"/>
            <w:vMerge w:val="restart"/>
            <w:textDirection w:val="lrTb"/>
            <w:noWrap w:val="false"/>
          </w:tcPr>
          <w:p>
            <w:pPr>
              <w:ind w:righ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Работа в режиме переданных полномочий</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1856" w:type="dxa"/>
            <w:vAlign w:val="center"/>
            <w:textDirection w:val="lrTb"/>
            <w:noWrap w:val="false"/>
          </w:tcPr>
          <w:p>
            <w:pPr>
              <w:ind w:left="57" w:right="57" w:hanging="57"/>
              <w:jc w:val="left"/>
              <w:rPr>
                <w:sz w:val="22"/>
                <w:szCs w:val="22"/>
                <w:highlight w:val="white"/>
              </w:rPr>
            </w:pPr>
            <w:r>
              <w:rPr>
                <w:sz w:val="22"/>
                <w:szCs w:val="22"/>
                <w:highlight w:val="white"/>
              </w:rPr>
              <w:t xml:space="preserve">Ввод данных</w:t>
            </w:r>
            <w:r>
              <w:rPr>
                <w:sz w:val="22"/>
                <w:szCs w:val="22"/>
                <w:highlight w:val="white"/>
              </w:rPr>
            </w:r>
            <w:r>
              <w:rPr>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RCA_ПУР.Переданные</w:t>
            </w:r>
            <w:r>
              <w:rPr>
                <w:highlight w:val="white"/>
              </w:rPr>
              <w:t xml:space="preserve"> полномочия. Ввод данных</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right="57" w:firstLine="0"/>
              <w:jc w:val="left"/>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Borders>
              <w:top w:val="single" w:color="000000" w:sz="4" w:space="0"/>
              <w:left w:val="single" w:color="000000" w:sz="4" w:space="0"/>
              <w:bottom w:val="single" w:color="000000" w:sz="4" w:space="0"/>
              <w:right w:val="single" w:color="000000" w:sz="4" w:space="0"/>
            </w:tcBorders>
            <w:tcMar>
              <w:left w:w="30" w:type="dxa"/>
              <w:top w:w="0" w:type="dxa"/>
              <w:right w:w="30" w:type="dxa"/>
              <w:bottom w:w="0" w:type="dxa"/>
            </w:tcMar>
            <w:tcW w:w="1856" w:type="dxa"/>
            <w:vAlign w:val="center"/>
            <w:textDirection w:val="lrTb"/>
            <w:noWrap w:val="false"/>
          </w:tcPr>
          <w:p>
            <w:pPr>
              <w:ind w:left="57" w:right="57" w:hanging="57"/>
              <w:jc w:val="left"/>
              <w:rPr>
                <w:sz w:val="22"/>
                <w:szCs w:val="22"/>
                <w:highlight w:val="white"/>
              </w:rPr>
            </w:pPr>
            <w:r>
              <w:rPr>
                <w:sz w:val="22"/>
                <w:szCs w:val="22"/>
                <w:highlight w:val="white"/>
              </w:rPr>
              <w:t xml:space="preserve">Просмотр</w:t>
            </w:r>
            <w:r>
              <w:rPr>
                <w:sz w:val="22"/>
                <w:szCs w:val="22"/>
                <w:highlight w:val="white"/>
              </w:rPr>
            </w:r>
            <w:r>
              <w:rPr>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RCA_ПУР.Переданные</w:t>
            </w:r>
            <w:r>
              <w:rPr>
                <w:highlight w:val="white"/>
              </w:rPr>
              <w:t xml:space="preserve"> полномочия. Просмотр данных</w:t>
            </w:r>
            <w:r>
              <w:rPr>
                <w:color w:val="000000"/>
                <w:sz w:val="22"/>
                <w:szCs w:val="22"/>
                <w:highlight w:val="white"/>
              </w:rPr>
            </w:r>
            <w:r>
              <w:rPr>
                <w:color w:val="000000"/>
                <w:sz w:val="22"/>
                <w:szCs w:val="22"/>
                <w:highlight w:val="white"/>
              </w:rPr>
            </w:r>
          </w:p>
        </w:tc>
      </w:tr>
      <w:tr>
        <w:tblPrEx/>
        <w:trPr>
          <w:trHeight w:val="567"/>
        </w:trPr>
        <w:tc>
          <w:tcPr>
            <w:tcW w:w="534" w:type="dxa"/>
            <w:vMerge w:val="continue"/>
            <w:textDirection w:val="lrTb"/>
            <w:noWrap w:val="false"/>
          </w:tcPr>
          <w:p>
            <w:pPr>
              <w:ind w:firstLine="0"/>
              <w:jc w:val="left"/>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39" w:type="dxa"/>
            <w:vAlign w:val="center"/>
            <w:vMerge w:val="continue"/>
            <w:textDirection w:val="lrTb"/>
            <w:noWrap w:val="false"/>
          </w:tcPr>
          <w:p>
            <w:pPr>
              <w:ind w:right="57" w:firstLine="0"/>
              <w:jc w:val="left"/>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56" w:type="dxa"/>
            <w:vAlign w:val="center"/>
            <w:textDirection w:val="lrTb"/>
            <w:noWrap w:val="false"/>
          </w:tcPr>
          <w:p>
            <w:pPr>
              <w:ind w:left="57" w:right="57" w:hanging="57"/>
              <w:jc w:val="left"/>
              <w:rPr>
                <w:sz w:val="22"/>
                <w:szCs w:val="22"/>
                <w:highlight w:val="white"/>
              </w:rPr>
            </w:pPr>
            <w:r>
              <w:rPr>
                <w:sz w:val="22"/>
                <w:szCs w:val="22"/>
                <w:highlight w:val="white"/>
              </w:rPr>
              <w:t xml:space="preserve">Согласование</w:t>
            </w:r>
            <w:r>
              <w:rPr>
                <w:sz w:val="22"/>
                <w:szCs w:val="22"/>
                <w:highlight w:val="white"/>
              </w:rPr>
            </w:r>
            <w:r>
              <w:rPr>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RCA_ПУР.Переданные</w:t>
            </w:r>
            <w:r>
              <w:rPr>
                <w:highlight w:val="white"/>
              </w:rPr>
              <w:t xml:space="preserve"> полномочия. Согласование данных</w:t>
            </w:r>
            <w:r>
              <w:rPr>
                <w:color w:val="000000"/>
                <w:sz w:val="22"/>
                <w:szCs w:val="22"/>
                <w:highlight w:val="white"/>
              </w:rPr>
            </w:r>
            <w:r>
              <w:rPr>
                <w:color w:val="000000"/>
                <w:sz w:val="22"/>
                <w:szCs w:val="22"/>
                <w:highlight w:val="white"/>
              </w:rPr>
            </w:r>
          </w:p>
        </w:tc>
      </w:tr>
      <w:tr>
        <w:tblPrEx/>
        <w:trPr>
          <w:trHeight w:val="567"/>
        </w:trPr>
        <w:tc>
          <w:tcPr>
            <w:tcW w:w="534" w:type="dxa"/>
            <w:textDirection w:val="lrTb"/>
            <w:noWrap w:val="false"/>
          </w:tcPr>
          <w:p>
            <w:pPr>
              <w:numPr>
                <w:ilvl w:val="0"/>
                <w:numId w:val="1"/>
              </w:numPr>
              <w:ind w:lef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4239" w:type="dxa"/>
            <w:vAlign w:val="center"/>
            <w:textDirection w:val="lrTb"/>
            <w:noWrap w:val="false"/>
          </w:tcPr>
          <w:p>
            <w:pPr>
              <w:ind w:right="57" w:firstLine="0"/>
              <w:jc w:val="left"/>
              <w:rPr>
                <w:color w:val="000000"/>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Утверждение в режиме переданных полномочий с правом первой подписи</w:t>
            </w:r>
            <w:r>
              <w:rPr>
                <w:color w:val="000000"/>
                <w:sz w:val="22"/>
                <w:szCs w:val="22"/>
                <w:highlight w:val="yellow"/>
              </w:rPr>
            </w:r>
            <w:r>
              <w:rPr>
                <w:color w:val="000000"/>
                <w:sz w:val="22"/>
                <w:szCs w:val="22"/>
                <w:highlight w:val="yellow"/>
              </w:rPr>
            </w:r>
          </w:p>
        </w:tc>
        <w:tc>
          <w:tcPr>
            <w:shd w:val="clear" w:color="auto" w:fill="ffffff"/>
            <w:tcMar>
              <w:left w:w="30" w:type="dxa"/>
              <w:top w:w="0" w:type="dxa"/>
              <w:right w:w="30" w:type="dxa"/>
              <w:bottom w:w="0" w:type="dxa"/>
            </w:tcMar>
            <w:tcW w:w="1856" w:type="dxa"/>
            <w:vAlign w:val="center"/>
            <w:textDirection w:val="lrTb"/>
            <w:noWrap w:val="false"/>
          </w:tcPr>
          <w:p>
            <w:pPr>
              <w:ind w:righ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color w:val="000000"/>
                <w:sz w:val="22"/>
                <w:szCs w:val="22"/>
                <w:highlight w:val="white"/>
              </w:rPr>
            </w:r>
            <w:r>
              <w:rPr>
                <w:color w:val="000000"/>
                <w:sz w:val="22"/>
                <w:szCs w:val="22"/>
                <w:highlight w:val="white"/>
              </w:rPr>
            </w:r>
          </w:p>
        </w:tc>
        <w:tc>
          <w:tcPr>
            <w:tcBorders>
              <w:top w:val="none" w:color="000000" w:sz="4" w:space="0"/>
              <w:left w:val="single" w:color="000000" w:sz="8" w:space="0"/>
              <w:bottom w:val="single" w:color="000000" w:sz="8" w:space="0"/>
              <w:right w:val="single" w:color="000000" w:sz="8" w:space="0"/>
            </w:tcBorders>
            <w:tcMar>
              <w:left w:w="20" w:type="dxa"/>
              <w:top w:w="60" w:type="dxa"/>
              <w:right w:w="20" w:type="dxa"/>
              <w:bottom w:w="60" w:type="dxa"/>
            </w:tcMar>
            <w:tcW w:w="3118" w:type="dxa"/>
            <w:textDirection w:val="lrTb"/>
            <w:noWrap w:val="false"/>
          </w:tcPr>
          <w:p>
            <w:pPr>
              <w:ind w:left="57" w:right="57" w:hanging="57"/>
              <w:jc w:val="left"/>
              <w:rPr>
                <w:color w:val="000000"/>
                <w:sz w:val="22"/>
                <w:szCs w:val="22"/>
                <w:highlight w:val="white"/>
              </w:rPr>
            </w:pPr>
            <w:r>
              <w:rPr>
                <w:color w:val="000000"/>
                <w:sz w:val="22"/>
                <w:szCs w:val="22"/>
                <w:highlight w:val="white"/>
              </w:rPr>
              <w:t xml:space="preserve">RCA_ПУР.Переданные</w:t>
            </w:r>
            <w:r>
              <w:rPr>
                <w:color w:val="000000"/>
                <w:sz w:val="22"/>
                <w:szCs w:val="22"/>
                <w:highlight w:val="white"/>
              </w:rPr>
              <w:t xml:space="preserve"> полномочия. Утверждение данных</w:t>
            </w:r>
            <w:r>
              <w:rPr>
                <w:rStyle w:val="1325"/>
                <w:color w:val="000000"/>
                <w:sz w:val="22"/>
                <w:szCs w:val="22"/>
                <w:highlight w:val="white"/>
              </w:rPr>
              <w:footnoteReference w:customMarkFollows="1" w:id="8"/>
            </w:r>
            <w:r>
              <w:rPr>
                <w:rStyle w:val="1325"/>
                <w:color w:val="000000"/>
                <w:sz w:val="22"/>
                <w:szCs w:val="22"/>
                <w:highlight w:val="yellow"/>
              </w:rPr>
              <w:t xml:space="preserve">*</w:t>
            </w:r>
            <w:r>
              <w:rPr>
                <w:color w:val="000000"/>
                <w:sz w:val="22"/>
                <w:szCs w:val="22"/>
                <w:highlight w:val="white"/>
              </w:rPr>
            </w:r>
            <w:r>
              <w:rPr>
                <w:color w:val="000000"/>
                <w:sz w:val="22"/>
                <w:szCs w:val="22"/>
                <w:highlight w:val="white"/>
              </w:rPr>
            </w:r>
          </w:p>
        </w:tc>
      </w:tr>
      <w:tr>
        <w:tblPrEx/>
        <w:trPr>
          <w:trHeight w:val="567"/>
        </w:trPr>
        <w:tc>
          <w:tcPr>
            <w:tcW w:w="534" w:type="dxa"/>
            <w:vMerge w:val="restart"/>
            <w:textDirection w:val="lrTb"/>
            <w:noWrap w:val="false"/>
          </w:tcPr>
          <w:p>
            <w:pPr>
              <w:numPr>
                <w:ilvl w:val="0"/>
                <w:numId w:val="1"/>
              </w:numPr>
              <w:ind w:lef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4239" w:type="dxa"/>
            <w:vAlign w:val="center"/>
            <w:vMerge w:val="restart"/>
            <w:textDirection w:val="lrTb"/>
            <w:noWrap w:val="false"/>
          </w:tcPr>
          <w:p>
            <w:pPr>
              <w:ind w:righ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Утверждение в режиме переданных полномочий</w:t>
            </w:r>
            <w:r>
              <w:rPr>
                <w:color w:val="000000"/>
                <w:sz w:val="22"/>
                <w:szCs w:val="22"/>
                <w:highlight w:val="white"/>
              </w:rPr>
            </w:r>
            <w:r>
              <w:rPr>
                <w:color w:val="000000"/>
                <w:sz w:val="22"/>
                <w:szCs w:val="22"/>
                <w:highlight w:val="white"/>
              </w:rPr>
            </w:r>
          </w:p>
        </w:tc>
        <w:tc>
          <w:tcPr>
            <w:shd w:val="clear" w:color="ffffff" w:fill="ffffff"/>
            <w:tcMar>
              <w:left w:w="30" w:type="dxa"/>
              <w:top w:w="0" w:type="dxa"/>
              <w:right w:w="30" w:type="dxa"/>
              <w:bottom w:w="0" w:type="dxa"/>
            </w:tcMar>
            <w:tcW w:w="1856" w:type="dxa"/>
            <w:vAlign w:val="center"/>
            <w:vMerge w:val="restart"/>
            <w:textDirection w:val="lrTb"/>
            <w:noWrap w:val="false"/>
          </w:tcPr>
          <w:p>
            <w:pPr>
              <w:ind w:righ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color w:val="000000"/>
                <w:sz w:val="22"/>
                <w:szCs w:val="22"/>
                <w:highlight w:val="white"/>
              </w:rPr>
            </w:r>
            <w:r>
              <w:rPr>
                <w:color w:val="000000"/>
                <w:sz w:val="22"/>
                <w:szCs w:val="22"/>
                <w:highlight w:val="white"/>
              </w:rPr>
            </w:r>
          </w:p>
          <w:p>
            <w:pPr>
              <w:ind w:right="57"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c>
          <w:tcPr>
            <w:tcBorders>
              <w:top w:val="none" w:color="000000" w:sz="4" w:space="0"/>
              <w:left w:val="single" w:color="000000" w:sz="8" w:space="0"/>
              <w:bottom w:val="single" w:color="000000" w:sz="8" w:space="0"/>
              <w:right w:val="single" w:color="000000" w:sz="8" w:space="0"/>
            </w:tcBorders>
            <w:tcMar>
              <w:left w:w="20" w:type="dxa"/>
              <w:top w:w="60" w:type="dxa"/>
              <w:right w:w="20" w:type="dxa"/>
              <w:bottom w:w="60" w:type="dxa"/>
            </w:tcMar>
            <w:tcW w:w="3118" w:type="dxa"/>
            <w:vMerge w:val="restart"/>
            <w:textDirection w:val="lrTb"/>
            <w:noWrap w:val="false"/>
          </w:tcPr>
          <w:p>
            <w:pPr>
              <w:ind w:left="57" w:right="57" w:hanging="57"/>
              <w:jc w:val="left"/>
              <w:rPr>
                <w:color w:val="000000"/>
                <w:sz w:val="22"/>
                <w:szCs w:val="22"/>
                <w:highlight w:val="white"/>
              </w:rPr>
            </w:pPr>
            <w:r>
              <w:rPr>
                <w:color w:val="000000"/>
                <w:sz w:val="22"/>
                <w:szCs w:val="22"/>
                <w:highlight w:val="white"/>
              </w:rPr>
            </w:r>
            <w:r>
              <w:rPr>
                <w:color w:val="000000"/>
                <w:sz w:val="22"/>
                <w:szCs w:val="22"/>
                <w:highlight w:val="white"/>
              </w:rPr>
              <w:t xml:space="preserve">RCA_ПУР.Переданное полномочие.Уполномоченное_лицо_БО_ДО.</w:t>
            </w:r>
            <w:r>
              <w:rPr>
                <w:color w:val="000000"/>
                <w:sz w:val="22"/>
                <w:szCs w:val="22"/>
                <w:highlight w:val="white"/>
              </w:rPr>
            </w:r>
            <w:r>
              <w:rPr>
                <w:color w:val="000000"/>
                <w:sz w:val="22"/>
                <w:szCs w:val="22"/>
                <w:highlight w:val="white"/>
              </w:rPr>
            </w:r>
          </w:p>
        </w:tc>
      </w:tr>
      <w:tr>
        <w:tblPrEx/>
        <w:trPr>
          <w:trHeight w:val="567"/>
        </w:trPr>
        <w:tc>
          <w:tcPr>
            <w:tcW w:w="534" w:type="dxa"/>
            <w:textDirection w:val="lrTb"/>
            <w:noWrap w:val="false"/>
          </w:tcPr>
          <w:p>
            <w:pPr>
              <w:numPr>
                <w:ilvl w:val="0"/>
                <w:numId w:val="1"/>
              </w:numPr>
              <w:ind w:lef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4239" w:type="dxa"/>
            <w:vAlign w:val="center"/>
            <w:textDirection w:val="lrTb"/>
            <w:noWrap w:val="false"/>
          </w:tcPr>
          <w:p>
            <w:pPr>
              <w:ind w:right="57" w:firstLine="0"/>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Утверждение в режиме переданных полномочий с правом второй подписи</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56" w:type="dxa"/>
            <w:vAlign w:val="center"/>
            <w:textDirection w:val="lrTb"/>
            <w:noWrap w:val="false"/>
          </w:tcPr>
          <w:p>
            <w:pPr>
              <w:ind w:right="57"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sz w:val="22"/>
                <w:szCs w:val="22"/>
                <w:highlight w:val="white"/>
              </w:rPr>
            </w:r>
            <w:r>
              <w:rPr>
                <w:sz w:val="22"/>
                <w:szCs w:val="22"/>
                <w:highlight w:val="white"/>
              </w:rPr>
            </w:r>
          </w:p>
        </w:tc>
        <w:tc>
          <w:tcPr>
            <w:tcBorders>
              <w:top w:val="none" w:color="000000" w:sz="4" w:space="0"/>
              <w:left w:val="single" w:color="000000" w:sz="8" w:space="0"/>
              <w:bottom w:val="single" w:color="000000" w:sz="8" w:space="0"/>
              <w:right w:val="single" w:color="000000" w:sz="8" w:space="0"/>
            </w:tcBorders>
            <w:tcMar>
              <w:left w:w="20" w:type="dxa"/>
              <w:top w:w="60" w:type="dxa"/>
              <w:right w:w="20" w:type="dxa"/>
              <w:bottom w:w="60" w:type="dxa"/>
            </w:tcMar>
            <w:tcW w:w="3118" w:type="dxa"/>
            <w:textDirection w:val="lrTb"/>
            <w:noWrap w:val="false"/>
          </w:tcPr>
          <w:p>
            <w:pPr>
              <w:ind w:left="57" w:right="57" w:hanging="57"/>
              <w:jc w:val="left"/>
              <w:rPr>
                <w:color w:val="000000"/>
                <w:sz w:val="22"/>
                <w:szCs w:val="22"/>
                <w:highlight w:val="white"/>
              </w:rPr>
            </w:pPr>
            <w:r>
              <w:rPr>
                <w:color w:val="000000"/>
                <w:sz w:val="22"/>
                <w:szCs w:val="22"/>
                <w:highlight w:val="white"/>
              </w:rPr>
              <w:t xml:space="preserve">RCA_ПУР.Переданные</w:t>
            </w:r>
            <w:r>
              <w:rPr>
                <w:color w:val="000000"/>
                <w:sz w:val="22"/>
                <w:szCs w:val="22"/>
                <w:highlight w:val="white"/>
              </w:rPr>
              <w:t xml:space="preserve"> </w:t>
            </w:r>
            <w:r>
              <w:rPr>
                <w:color w:val="000000"/>
                <w:sz w:val="22"/>
                <w:szCs w:val="22"/>
                <w:highlight w:val="white"/>
              </w:rPr>
              <w:t xml:space="preserve">полномочия.Главный</w:t>
            </w:r>
            <w:r>
              <w:rPr>
                <w:color w:val="000000"/>
                <w:sz w:val="22"/>
                <w:szCs w:val="22"/>
                <w:highlight w:val="white"/>
              </w:rPr>
              <w:t xml:space="preserve"> Бухгалтер</w:t>
            </w:r>
            <w:r>
              <w:rPr>
                <w:rStyle w:val="1325"/>
                <w:color w:val="000000"/>
                <w:sz w:val="22"/>
                <w:szCs w:val="22"/>
                <w:highlight w:val="yellow"/>
              </w:rPr>
              <w:footnoteReference w:customMarkFollows="1" w:id="9"/>
              <w:t xml:space="preserve">*</w:t>
            </w:r>
            <w:r>
              <w:rPr>
                <w:color w:val="000000"/>
                <w:sz w:val="22"/>
                <w:szCs w:val="22"/>
                <w:highlight w:val="white"/>
              </w:rPr>
            </w:r>
            <w:r>
              <w:rPr>
                <w:color w:val="000000"/>
                <w:sz w:val="22"/>
                <w:szCs w:val="22"/>
                <w:highlight w:val="white"/>
              </w:rPr>
            </w:r>
          </w:p>
        </w:tc>
      </w:tr>
      <w:tr>
        <w:tblPrEx/>
        <w:trPr>
          <w:trHeight w:val="655"/>
        </w:trPr>
        <w:tc>
          <w:tcPr>
            <w:gridSpan w:val="4"/>
            <w:tcMar>
              <w:left w:w="108" w:type="dxa"/>
              <w:right w:w="108" w:type="dxa"/>
            </w:tcMar>
            <w:tcW w:w="9747" w:type="dxa"/>
            <w:vAlign w:val="center"/>
            <w:textDirection w:val="lrTb"/>
            <w:noWrap w:val="false"/>
          </w:tcPr>
          <w:p>
            <w:pPr>
              <w:ind w:left="57" w:right="57"/>
              <w:jc w:val="center"/>
              <w:spacing w:before="120" w:after="120"/>
              <w:rPr>
                <w:b/>
                <w:color w:val="000000"/>
                <w:highlight w:val="white"/>
              </w:rPr>
            </w:pPr>
            <w:r>
              <w:rPr>
                <w:b/>
                <w:highlight w:val="white"/>
              </w:rPr>
              <w:t xml:space="preserve">Клиент. Специальные полномочия.</w:t>
            </w:r>
            <w:r>
              <w:rPr>
                <w:b/>
                <w:color w:val="000000"/>
                <w:highlight w:val="white"/>
              </w:rPr>
            </w:r>
            <w:r>
              <w:rPr>
                <w:b/>
                <w:color w:val="000000"/>
                <w:highlight w:val="white"/>
              </w:rPr>
            </w:r>
          </w:p>
        </w:tc>
      </w:tr>
      <w:tr>
        <w:tblPrEx/>
        <w:trPr>
          <w:trHeight w:val="947"/>
        </w:trPr>
        <w:tc>
          <w:tcPr>
            <w:tcMar>
              <w:left w:w="108" w:type="dxa"/>
              <w:right w:w="108" w:type="dxa"/>
            </w:tcMar>
            <w:tcW w:w="534" w:type="dxa"/>
            <w:vAlign w:val="center"/>
            <w:textDirection w:val="lrTb"/>
            <w:noWrap w:val="false"/>
          </w:tcPr>
          <w:p>
            <w:pPr>
              <w:numPr>
                <w:ilvl w:val="0"/>
                <w:numId w:val="1"/>
              </w:numPr>
              <w:ind w:left="57" w:firstLine="0"/>
              <w:jc w:val="left"/>
              <w:rPr>
                <w:highlight w:val="white"/>
              </w:rPr>
            </w:pPr>
            <w:r>
              <w:rPr>
                <w:highlight w:val="white"/>
              </w:rPr>
            </w:r>
            <w:r>
              <w:rPr>
                <w:highlight w:val="white"/>
              </w:rPr>
            </w:r>
            <w:r>
              <w:rPr>
                <w:highlight w:val="white"/>
              </w:rPr>
            </w:r>
          </w:p>
        </w:tc>
        <w:tc>
          <w:tcPr>
            <w:tcMar>
              <w:left w:w="108" w:type="dxa"/>
              <w:right w:w="108" w:type="dxa"/>
            </w:tcMar>
            <w:tcW w:w="4239" w:type="dxa"/>
            <w:vAlign w:val="center"/>
            <w:textDirection w:val="lrTb"/>
            <w:noWrap w:val="false"/>
          </w:tcPr>
          <w:p>
            <w:pPr>
              <w:ind w:firstLine="0"/>
              <w:jc w:val="left"/>
              <w:spacing w:line="276" w:lineRule="auto"/>
              <w:widowControl w:val="off"/>
              <w:rPr>
                <w:color w:val="000000"/>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Ограничение редактирования импортированных документов и ручного ввода документов в ЛК Клиента</w:t>
            </w:r>
            <w:r>
              <w:rPr>
                <w:color w:val="000000"/>
                <w:highlight w:val="white"/>
              </w:rPr>
            </w:r>
            <w:r>
              <w:rPr>
                <w:color w:val="000000"/>
                <w:highlight w:val="white"/>
              </w:rPr>
            </w:r>
          </w:p>
        </w:tc>
        <w:tc>
          <w:tcPr>
            <w:tcMar>
              <w:left w:w="108" w:type="dxa"/>
              <w:right w:w="108" w:type="dxa"/>
            </w:tcMar>
            <w:tcW w:w="1856" w:type="dxa"/>
            <w:vAlign w:val="center"/>
            <w:textDirection w:val="lrTb"/>
            <w:noWrap w:val="false"/>
          </w:tcPr>
          <w:p>
            <w:pPr>
              <w:ind w:firstLine="0"/>
              <w:jc w:val="left"/>
              <w:spacing w:line="276" w:lineRule="auto"/>
              <w:widowControl w:val="off"/>
              <w:rPr>
                <w:color w:val="000000"/>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Ввод данных</w:t>
            </w:r>
            <w:r>
              <w:rPr>
                <w:color w:val="000000"/>
                <w:highlight w:val="white"/>
              </w:rPr>
            </w:r>
            <w:r>
              <w:rPr>
                <w:color w:val="000000"/>
                <w:highlight w:val="white"/>
              </w:rPr>
            </w:r>
          </w:p>
        </w:tc>
        <w:tc>
          <w:tcPr>
            <w:tcMar>
              <w:left w:w="108" w:type="dxa"/>
              <w:right w:w="108" w:type="dxa"/>
            </w:tcMar>
            <w:tcW w:w="3118" w:type="dxa"/>
            <w:vAlign w:val="center"/>
            <w:textDirection w:val="lrTb"/>
            <w:noWrap w:val="false"/>
          </w:tcPr>
          <w:p>
            <w:pPr>
              <w:ind w:firstLine="0"/>
              <w:jc w:val="left"/>
              <w:spacing w:line="276" w:lineRule="auto"/>
              <w:widowControl w:val="off"/>
              <w:rPr>
                <w:color w:val="000000"/>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Клиент.Ограничение</w:t>
            </w:r>
            <w:r>
              <w:rPr>
                <w:highlight w:val="white"/>
              </w:rPr>
              <w:t xml:space="preserve"> редактирования</w:t>
            </w:r>
            <w:r>
              <w:rPr>
                <w:color w:val="000000"/>
                <w:highlight w:val="white"/>
              </w:rPr>
            </w:r>
            <w:r>
              <w:rPr>
                <w:color w:val="000000"/>
                <w:highlight w:val="white"/>
              </w:rPr>
            </w:r>
          </w:p>
        </w:tc>
      </w:tr>
      <w:tr>
        <w:tblPrEx/>
        <w:trPr>
          <w:trHeight w:val="947"/>
        </w:trPr>
        <w:tc>
          <w:tcPr>
            <w:gridSpan w:val="4"/>
            <w:tcMar>
              <w:left w:w="108" w:type="dxa"/>
              <w:right w:w="108" w:type="dxa"/>
            </w:tcMar>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Для Межрегионального операционного управления Федерального казначейства (далее – МОУ ФК)</w:t>
            </w:r>
            <w:r>
              <w:rPr>
                <w:b/>
                <w:color w:val="000000"/>
                <w:highlight w:val="white"/>
                <w:vertAlign w:val="superscript"/>
              </w:rPr>
              <w:t xml:space="preserve"> </w:t>
            </w:r>
            <w:r>
              <w:rPr>
                <w:b/>
                <w:color w:val="000000"/>
                <w:highlight w:val="white"/>
              </w:rPr>
            </w:r>
            <w:r>
              <w:rPr>
                <w:b/>
                <w:color w:val="000000"/>
                <w:highlight w:val="white"/>
              </w:rPr>
            </w:r>
          </w:p>
        </w:tc>
      </w:tr>
      <w:tr>
        <w:tblPrEx/>
        <w:trPr>
          <w:trHeight w:val="567"/>
        </w:trPr>
        <w:tc>
          <w:tcPr>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Учет, доведение и отражение на ЛС ГРБС/ГАИФ показателей бюджетной росписи</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ДБД.001 </w:t>
            </w:r>
            <w:r>
              <w:rPr>
                <w:color w:val="000000"/>
                <w:sz w:val="22"/>
                <w:szCs w:val="22"/>
                <w:highlight w:val="white"/>
              </w:rPr>
              <w:t xml:space="preserve">МОУ.Исполнитель</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ДБД.004 </w:t>
            </w:r>
            <w:r>
              <w:rPr>
                <w:color w:val="000000"/>
                <w:sz w:val="22"/>
                <w:szCs w:val="22"/>
                <w:highlight w:val="white"/>
              </w:rPr>
              <w:t xml:space="preserve">МОУ.Просмотр</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ДБД.002 </w:t>
            </w:r>
            <w:r>
              <w:rPr>
                <w:color w:val="000000"/>
                <w:sz w:val="22"/>
                <w:szCs w:val="22"/>
                <w:highlight w:val="white"/>
              </w:rPr>
              <w:t xml:space="preserve">МОУ.Согласование</w:t>
            </w:r>
            <w:r>
              <w:rPr>
                <w:color w:val="000000"/>
                <w:sz w:val="22"/>
                <w:szCs w:val="22"/>
                <w:highlight w:val="white"/>
              </w:rPr>
            </w:r>
            <w:r>
              <w:rPr>
                <w:color w:val="000000"/>
                <w:sz w:val="22"/>
                <w:szCs w:val="22"/>
                <w:highlight w:val="white"/>
              </w:rPr>
            </w:r>
          </w:p>
        </w:tc>
      </w:tr>
      <w:tr>
        <w:tblPrEx/>
        <w:trPr>
          <w:trHeight w:val="567"/>
        </w:trPr>
        <w:tc>
          <w:tcPr>
            <w:tcBorders>
              <w:bottom w:val="single" w:color="000000" w:sz="4" w:space="0"/>
            </w:tcBorders>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Borders>
              <w:bottom w:val="single" w:color="000000" w:sz="4" w:space="0"/>
            </w:tcBorders>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учету, доведению и отражению на ЛС ГРБС/ГАИФ показателей сводной бюджетной росписи</w:t>
            </w:r>
            <w:r>
              <w:rPr>
                <w:color w:val="000000"/>
                <w:sz w:val="22"/>
                <w:szCs w:val="22"/>
                <w:highlight w:val="white"/>
              </w:rPr>
            </w:r>
            <w:r>
              <w:rPr>
                <w:color w:val="000000"/>
                <w:sz w:val="22"/>
                <w:szCs w:val="22"/>
                <w:highlight w:val="white"/>
              </w:rPr>
            </w:r>
          </w:p>
        </w:tc>
        <w:tc>
          <w:tcPr>
            <w:shd w:val="clear" w:color="auto" w:fill="ffffff"/>
            <w:tcBorders>
              <w:bottom w:val="single" w:color="000000" w:sz="4" w:space="0"/>
            </w:tcBorders>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w:t>
            </w:r>
            <w:r>
              <w:rPr>
                <w:color w:val="000000"/>
                <w:sz w:val="22"/>
                <w:szCs w:val="22"/>
                <w:highlight w:val="white"/>
              </w:rPr>
            </w:r>
            <w:r>
              <w:rPr>
                <w:color w:val="000000"/>
                <w:sz w:val="22"/>
                <w:szCs w:val="22"/>
                <w:highlight w:val="white"/>
              </w:rPr>
            </w:r>
          </w:p>
        </w:tc>
        <w:tc>
          <w:tcPr>
            <w:shd w:val="clear" w:color="auto" w:fill="auto"/>
            <w:tcBorders>
              <w:bottom w:val="single" w:color="000000" w:sz="4" w:space="0"/>
            </w:tcBorders>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ДБД.003 </w:t>
            </w:r>
            <w:r>
              <w:rPr>
                <w:color w:val="000000"/>
                <w:sz w:val="22"/>
                <w:szCs w:val="22"/>
                <w:highlight w:val="white"/>
              </w:rPr>
              <w:t xml:space="preserve">МОУ.Утверждение</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Контроль и согласование сведений о соглашении </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РС.008 Контролер МБТ. Исполнитель</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РС.007 Контролер МБТ. Просмотр</w:t>
            </w:r>
            <w:r>
              <w:rPr>
                <w:color w:val="000000"/>
                <w:sz w:val="22"/>
                <w:szCs w:val="22"/>
                <w:highlight w:val="white"/>
              </w:rPr>
            </w:r>
            <w:r>
              <w:rPr>
                <w:color w:val="000000"/>
                <w:sz w:val="22"/>
                <w:szCs w:val="22"/>
                <w:highlight w:val="white"/>
              </w:rPr>
            </w:r>
          </w:p>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highlight w:val="white"/>
              </w:rPr>
              <w:t xml:space="preserve">АИ.001 </w:t>
            </w:r>
            <w:r>
              <w:rPr>
                <w:sz w:val="22"/>
                <w:highlight w:val="white"/>
              </w:rPr>
              <w:t xml:space="preserve">АИ.Администратор</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РС.009 Контролер МБТ. Согласование</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сведений о соглашении </w:t>
            </w:r>
            <w:r>
              <w:rPr>
                <w:color w:val="000000"/>
                <w:sz w:val="22"/>
                <w:szCs w:val="22"/>
                <w:highlight w:val="white"/>
              </w:rPr>
            </w:r>
            <w:r>
              <w:rPr>
                <w:color w:val="000000"/>
                <w:sz w:val="22"/>
                <w:szCs w:val="22"/>
                <w:highlight w:val="white"/>
              </w:rPr>
            </w:r>
          </w:p>
        </w:tc>
        <w:tc>
          <w:tcPr>
            <w:shd w:val="clear" w:color="auto" w:fill="ffffff"/>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РС.010 Контролер МБТ. Утверждение</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информации для Счетной палаты</w:t>
            </w:r>
            <w:r>
              <w:rPr>
                <w:color w:val="000000"/>
                <w:sz w:val="22"/>
                <w:szCs w:val="22"/>
                <w:highlight w:val="white"/>
              </w:rPr>
            </w:r>
            <w:r>
              <w:rPr>
                <w:color w:val="000000"/>
                <w:sz w:val="22"/>
                <w:szCs w:val="22"/>
                <w:highlight w:val="white"/>
              </w:rPr>
            </w:r>
          </w:p>
        </w:tc>
        <w:tc>
          <w:tcPr>
            <w:shd w:val="clear" w:color="auto" w:fill="ffffff"/>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СП.001 Отчетность (МОУ)</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Специальные операции по учету, доведению и отражению на ЛС </w:t>
            </w:r>
            <w:r>
              <w:rPr>
                <w:color w:val="000000"/>
                <w:sz w:val="22"/>
                <w:szCs w:val="22"/>
                <w:highlight w:val="white"/>
              </w:rPr>
              <w:t xml:space="preserve">ГРБС/ГАИФ показателей бюджетной росписи</w:t>
            </w:r>
            <w:r>
              <w:rPr>
                <w:color w:val="000000"/>
                <w:sz w:val="22"/>
                <w:szCs w:val="22"/>
                <w:highlight w:val="white"/>
              </w:rPr>
            </w:r>
            <w:r>
              <w:rPr>
                <w:color w:val="000000"/>
                <w:sz w:val="22"/>
                <w:szCs w:val="22"/>
                <w:highlight w:val="white"/>
              </w:rPr>
            </w:r>
          </w:p>
        </w:tc>
        <w:tc>
          <w:tcPr>
            <w:shd w:val="clear" w:color="auto" w:fill="ffffff"/>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ДБД.005 Специальные полномочия</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локальных справочников ПУР </w:t>
            </w:r>
            <w:r>
              <w:rPr>
                <w:color w:val="000000"/>
                <w:sz w:val="22"/>
                <w:szCs w:val="22"/>
                <w:highlight w:val="white"/>
              </w:rPr>
            </w:r>
            <w:r>
              <w:rPr>
                <w:color w:val="000000"/>
                <w:sz w:val="22"/>
                <w:szCs w:val="22"/>
                <w:highlight w:val="white"/>
              </w:rPr>
            </w:r>
          </w:p>
        </w:tc>
        <w:tc>
          <w:tcPr>
            <w:shd w:val="clear" w:color="auto" w:fill="ffffff"/>
            <w:tcMar>
              <w:left w:w="108" w:type="dxa"/>
              <w:right w:w="108" w:type="dxa"/>
            </w:tcMar>
            <w:tcW w:w="1856"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НСИ.002 </w:t>
            </w:r>
            <w:r>
              <w:rPr>
                <w:color w:val="000000"/>
                <w:sz w:val="22"/>
                <w:szCs w:val="22"/>
                <w:highlight w:val="white"/>
              </w:rPr>
              <w:t xml:space="preserve">ФК.Редактирование</w:t>
            </w:r>
            <w:r>
              <w:rPr>
                <w:color w:val="000000"/>
                <w:sz w:val="22"/>
                <w:szCs w:val="22"/>
                <w:highlight w:val="white"/>
              </w:rPr>
              <w:t xml:space="preserve"> записи Справочника причин отказа</w:t>
            </w:r>
            <w:r>
              <w:rPr>
                <w:rStyle w:val="1325"/>
                <w:color w:val="000000"/>
                <w:sz w:val="22"/>
                <w:szCs w:val="22"/>
                <w:highlight w:val="white"/>
              </w:rPr>
              <w:footnoteReference w:id="10"/>
            </w:r>
            <w:r>
              <w:rPr>
                <w:color w:val="000000"/>
                <w:sz w:val="22"/>
                <w:szCs w:val="22"/>
                <w:highlight w:val="white"/>
              </w:rPr>
            </w:r>
            <w:r>
              <w:rPr>
                <w:color w:val="000000"/>
                <w:sz w:val="22"/>
                <w:szCs w:val="22"/>
                <w:highlight w:val="white"/>
              </w:rPr>
            </w:r>
          </w:p>
        </w:tc>
      </w:tr>
      <w:tr>
        <w:tblPrEx/>
        <w:trPr>
          <w:trHeight w:val="947"/>
        </w:trPr>
        <w:tc>
          <w:tcPr>
            <w:gridSpan w:val="4"/>
            <w:tcMar>
              <w:left w:w="108" w:type="dxa"/>
              <w:right w:w="108" w:type="dxa"/>
            </w:tcMar>
            <w:tcW w:w="9747" w:type="dxa"/>
            <w:vAlign w:val="center"/>
            <w:textDirection w:val="lrTb"/>
            <w:noWrap w:val="false"/>
          </w:tcPr>
          <w:p>
            <w:pPr>
              <w:ind w:left="57" w:right="57"/>
              <w:jc w:val="center"/>
              <w:keepNext/>
              <w:spacing w:before="120" w:after="120"/>
              <w:rPr>
                <w:b/>
                <w:color w:val="000000"/>
                <w:highlight w:val="white"/>
              </w:rPr>
            </w:pPr>
            <w:r>
              <w:rPr>
                <w:b/>
                <w:color w:val="000000"/>
                <w:highlight w:val="white"/>
              </w:rPr>
              <w:t xml:space="preserve">Для территориальных органов федерального казначейства (далее – ТОФК)</w:t>
            </w:r>
            <w:r>
              <w:rPr>
                <w:b/>
                <w:color w:val="000000"/>
                <w:highlight w:val="white"/>
                <w:vertAlign w:val="superscript"/>
              </w:rPr>
              <w:footnoteReference w:id="11"/>
            </w:r>
            <w:r>
              <w:rPr>
                <w:b/>
                <w:color w:val="000000"/>
                <w:highlight w:val="white"/>
              </w:rPr>
            </w:r>
            <w:r>
              <w:rPr>
                <w:b/>
                <w:color w:val="000000"/>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W w:w="4239" w:type="dxa"/>
            <w:vAlign w:val="center"/>
            <w:vMerge w:val="restart"/>
            <w:textDirection w:val="lrTb"/>
            <w:noWrap w:val="false"/>
          </w:tcPr>
          <w:p>
            <w:pPr>
              <w:ind w:left="94"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операций по доведению и отражению на лицевых счета участников бюджетного процесса бюджетных данных</w:t>
            </w:r>
            <w:r>
              <w:rPr>
                <w:color w:val="000000"/>
                <w:sz w:val="22"/>
                <w:szCs w:val="22"/>
                <w:highlight w:val="white"/>
              </w:rPr>
            </w:r>
            <w:r>
              <w:rPr>
                <w:color w:val="000000"/>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W w:w="1856" w:type="dxa"/>
            <w:vAlign w:val="center"/>
            <w:textDirection w:val="lrTb"/>
            <w:noWrap w:val="false"/>
          </w:tcPr>
          <w:p>
            <w:pPr>
              <w:ind w:left="182" w:right="57" w:hanging="56"/>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W w:w="3118" w:type="dxa"/>
            <w:vAlign w:val="center"/>
            <w:textDirection w:val="lrTb"/>
            <w:noWrap w:val="false"/>
          </w:tcPr>
          <w:p>
            <w:pPr>
              <w:ind w:left="138" w:right="57" w:hanging="56"/>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РР.017 </w:t>
            </w:r>
            <w:r>
              <w:rPr>
                <w:color w:val="000000"/>
                <w:sz w:val="22"/>
                <w:szCs w:val="22"/>
                <w:highlight w:val="white"/>
              </w:rPr>
              <w:t xml:space="preserve">ТОФК.Исполнитель</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РР.020 </w:t>
            </w:r>
            <w:r>
              <w:rPr>
                <w:color w:val="000000"/>
                <w:sz w:val="22"/>
                <w:szCs w:val="22"/>
                <w:highlight w:val="white"/>
              </w:rPr>
              <w:t xml:space="preserve">ТОФК.Просмотр</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РР.018 </w:t>
            </w:r>
            <w:r>
              <w:rPr>
                <w:color w:val="000000"/>
                <w:sz w:val="22"/>
                <w:szCs w:val="22"/>
                <w:highlight w:val="white"/>
              </w:rPr>
              <w:t xml:space="preserve">ТОФК.Согласование</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операциям доведения и отражения на лицевых счета участников бюджетного процесса бюджетных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РР.019 </w:t>
            </w:r>
            <w:r>
              <w:rPr>
                <w:color w:val="000000"/>
                <w:sz w:val="22"/>
                <w:szCs w:val="22"/>
                <w:highlight w:val="white"/>
              </w:rPr>
              <w:t xml:space="preserve">ТОФК.Утверждение</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Специальные операции по доведению и отражению на лицевых счета участников бюджетного процесса бюджетных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РР.021 Специальные полномочия </w:t>
            </w:r>
            <w:r>
              <w:rPr>
                <w:color w:val="000000"/>
                <w:sz w:val="22"/>
                <w:szCs w:val="22"/>
                <w:highlight w:val="white"/>
              </w:rPr>
              <w:t xml:space="preserve">ОрФК</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операций по учету бюджетных и денежных обязательств получателей бюджетных средств, санкционирование операций со средствами бюджета и средствами во временном распоряжении </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БО,ДО.006.ТОФК.Исполнитель БО,ДО</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bottom w:val="single" w:color="000000" w:sz="4" w:space="0"/>
            </w:tcBorders>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Borders>
              <w:bottom w:val="single" w:color="000000" w:sz="4" w:space="0"/>
            </w:tcBorders>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БО,ДО.009.ТОФК.Просмотр БО,ДО</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БО,ДО.007 </w:t>
            </w:r>
            <w:r>
              <w:rPr>
                <w:color w:val="000000"/>
                <w:sz w:val="22"/>
                <w:szCs w:val="22"/>
                <w:highlight w:val="white"/>
              </w:rPr>
              <w:t xml:space="preserve">ТОФК.Согласование</w:t>
            </w:r>
            <w:r>
              <w:rPr>
                <w:color w:val="000000"/>
                <w:sz w:val="22"/>
                <w:szCs w:val="22"/>
                <w:highlight w:val="white"/>
              </w:rPr>
              <w:t xml:space="preserve"> БО,ДО</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операциям учета бюджетных и денежных обязательств получателей бюджетных средств </w:t>
            </w:r>
            <w:r>
              <w:rPr>
                <w:color w:val="000000"/>
                <w:sz w:val="22"/>
                <w:szCs w:val="22"/>
                <w:highlight w:val="white"/>
              </w:rPr>
              <w:t xml:space="preserve">(среднего уровня </w:t>
            </w:r>
            <w:r>
              <w:rPr>
                <w:color w:val="000000"/>
                <w:sz w:val="22"/>
                <w:szCs w:val="22"/>
                <w:highlight w:val="white"/>
              </w:rPr>
              <w:t xml:space="preserve">рискоемкости</w:t>
            </w:r>
            <w:r>
              <w:rPr>
                <w:color w:val="000000"/>
                <w:sz w:val="22"/>
                <w:szCs w:val="22"/>
                <w:highlight w:val="white"/>
              </w:rPr>
              <w:t xml:space="preserve">)</w:t>
            </w:r>
            <w:r>
              <w:rPr>
                <w:color w:val="000000"/>
                <w:sz w:val="22"/>
                <w:szCs w:val="22"/>
                <w:highlight w:val="white"/>
              </w:rPr>
              <w:t xml:space="preserve">, операциям со средствами бюджета и средствами во временном распоряжении</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БО,ДО.008 </w:t>
            </w:r>
            <w:r>
              <w:rPr>
                <w:color w:val="000000"/>
                <w:sz w:val="22"/>
                <w:szCs w:val="22"/>
                <w:highlight w:val="white"/>
              </w:rPr>
              <w:t xml:space="preserve">ТОФК.Утверждение</w:t>
            </w:r>
            <w:r>
              <w:rPr>
                <w:color w:val="000000"/>
                <w:sz w:val="22"/>
                <w:szCs w:val="22"/>
                <w:highlight w:val="white"/>
              </w:rPr>
              <w:t xml:space="preserve"> БО,ДО</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операциям учета бюджетных и денежных обязательств получателей бюджетных средств высокого уровня </w:t>
            </w:r>
            <w:r>
              <w:rPr>
                <w:color w:val="000000"/>
                <w:sz w:val="22"/>
                <w:szCs w:val="22"/>
                <w:highlight w:val="white"/>
              </w:rPr>
              <w:t xml:space="preserve">рискоемкости</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sz w:val="24"/>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4"/>
                <w:szCs w:val="22"/>
                <w:highlight w:val="white"/>
              </w:rPr>
              <w:t xml:space="preserve">Утверждение</w:t>
            </w:r>
            <w:r>
              <w:rPr>
                <w:sz w:val="24"/>
                <w:szCs w:val="22"/>
                <w:highlight w:val="white"/>
              </w:rPr>
            </w:r>
            <w:r>
              <w:rPr>
                <w:sz w:val="24"/>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ФК.Санкционирование</w:t>
            </w:r>
            <w:r>
              <w:rPr>
                <w:color w:val="000000"/>
                <w:sz w:val="22"/>
                <w:szCs w:val="22"/>
                <w:highlight w:val="white"/>
              </w:rPr>
              <w:t xml:space="preserve"> высокого уровня </w:t>
            </w:r>
            <w:r>
              <w:rPr>
                <w:color w:val="000000"/>
                <w:sz w:val="22"/>
                <w:szCs w:val="22"/>
                <w:highlight w:val="white"/>
              </w:rPr>
              <w:t xml:space="preserve">рискоемкости</w:t>
            </w:r>
            <w:r>
              <w:rPr>
                <w:color w:val="000000"/>
                <w:sz w:val="22"/>
                <w:szCs w:val="22"/>
                <w:highlight w:val="white"/>
              </w:rPr>
              <w:t xml:space="preserve">».  </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операциям учета бюджетных и денежных обязательств получателей бюджетных средств уровня </w:t>
            </w:r>
            <w:r>
              <w:rPr>
                <w:color w:val="000000"/>
                <w:sz w:val="22"/>
                <w:szCs w:val="22"/>
                <w:highlight w:val="white"/>
              </w:rPr>
              <w:t xml:space="preserve">рискоемкости</w:t>
            </w:r>
            <w:r>
              <w:rPr>
                <w:color w:val="000000"/>
                <w:sz w:val="22"/>
                <w:szCs w:val="22"/>
                <w:highlight w:val="white"/>
              </w:rPr>
              <w:t xml:space="preserve"> особой важности</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sz w:val="24"/>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4"/>
                <w:szCs w:val="22"/>
                <w:highlight w:val="white"/>
              </w:rPr>
              <w:t xml:space="preserve">Утверждение</w:t>
            </w:r>
            <w:r>
              <w:rPr>
                <w:sz w:val="24"/>
                <w:szCs w:val="22"/>
                <w:highlight w:val="white"/>
              </w:rPr>
            </w:r>
            <w:r>
              <w:rPr>
                <w:sz w:val="24"/>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ФК.Санкционирование</w:t>
            </w:r>
            <w:r>
              <w:rPr>
                <w:color w:val="000000"/>
                <w:sz w:val="22"/>
                <w:szCs w:val="22"/>
                <w:highlight w:val="white"/>
              </w:rPr>
              <w:t xml:space="preserve"> особой важности</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Санкционирование операций со средствами во временном распоряжении</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СВР.004.ТОФК.Исполнитель</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СВР.005.ТОФК.Согласование</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СВР.008.ТОФК.Просмотр</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операциям со средствами во временном распоряжении</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СВР.006 </w:t>
            </w:r>
            <w:r>
              <w:rPr>
                <w:color w:val="000000"/>
                <w:sz w:val="22"/>
                <w:szCs w:val="22"/>
                <w:highlight w:val="white"/>
              </w:rPr>
              <w:t xml:space="preserve">ТОФК.Утверждение</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Mar>
              <w:left w:w="108" w:type="dxa"/>
              <w:right w:w="108" w:type="dxa"/>
            </w:tcMar>
            <w:tcW w:w="534" w:type="dxa"/>
            <w:textDirection w:val="lrTb"/>
            <w:noWrap w:val="false"/>
          </w:tcPr>
          <w:p>
            <w:pPr>
              <w:numPr>
                <w:ilvl w:val="0"/>
                <w:numId w:val="1"/>
              </w:numPr>
              <w:ind w:left="57" w:firstLine="0"/>
              <w:jc w:val="left"/>
              <w:rPr>
                <w:highlight w:val="white"/>
              </w:rPr>
            </w:pPr>
            <w:r>
              <w:rPr>
                <w:highlight w:val="white"/>
              </w:rPr>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4239"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Санкционирование операций со средствами бюджета и средствами во временном распоряжении в условиях пониженного контроля документов</w:t>
            </w:r>
            <w:r>
              <w:rPr>
                <w:sz w:val="22"/>
                <w:szCs w:val="22"/>
                <w:highlight w:val="white"/>
              </w:rPr>
            </w:r>
            <w:r>
              <w:rPr>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1856"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Ввод данных</w:t>
            </w:r>
            <w:r>
              <w:rPr>
                <w:sz w:val="22"/>
                <w:szCs w:val="22"/>
                <w:highlight w:val="white"/>
              </w:rPr>
            </w:r>
            <w:r>
              <w:rPr>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3118"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Платежи.СпецПолномочия</w:t>
            </w:r>
            <w:r>
              <w:rPr>
                <w:sz w:val="22"/>
                <w:szCs w:val="22"/>
                <w:highlight w:val="white"/>
              </w:rPr>
            </w:r>
            <w:r>
              <w:rPr>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сведений об операциях, отраженных на лицевых счетах, в разрезе первичных документов за соответствующий операционный день, полученных из ИС АСФК в виде Описей</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ЦЛС.001 Просмотр документов ТОФК (1)</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бухгалтерского учета по операциям бюджетов</w:t>
            </w:r>
            <w:r>
              <w:rPr>
                <w:color w:val="000000"/>
                <w:sz w:val="22"/>
                <w:szCs w:val="22"/>
                <w:highlight w:val="white"/>
                <w:vertAlign w:val="superscript"/>
              </w:rPr>
              <w:footnoteReference w:id="12"/>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БО.ДО.010 Учет БО.ДО</w:t>
            </w:r>
            <w:r>
              <w:rPr>
                <w:color w:val="000000"/>
                <w:sz w:val="22"/>
                <w:szCs w:val="22"/>
                <w:highlight w:val="white"/>
              </w:rPr>
            </w:r>
            <w:r>
              <w:rPr>
                <w:color w:val="000000"/>
                <w:sz w:val="22"/>
                <w:szCs w:val="22"/>
                <w:highlight w:val="white"/>
              </w:rPr>
            </w:r>
          </w:p>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РР.021 Специальные полномочия </w:t>
            </w:r>
            <w:r>
              <w:rPr>
                <w:color w:val="000000"/>
                <w:sz w:val="22"/>
                <w:szCs w:val="22"/>
                <w:highlight w:val="white"/>
              </w:rPr>
              <w:t xml:space="preserve">ОрФК</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bottom w:val="single" w:color="000000" w:sz="4" w:space="0"/>
            </w:tcBorders>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Borders>
              <w:bottom w:val="single" w:color="000000" w:sz="4" w:space="0"/>
            </w:tcBorders>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w:t>
            </w:r>
            <w:r>
              <w:rPr>
                <w:color w:val="000000"/>
                <w:sz w:val="22"/>
                <w:szCs w:val="22"/>
                <w:highlight w:val="white"/>
              </w:rPr>
              <w:t xml:space="preserve">.009.ТОФК.Просмотр БО,ДО</w:t>
            </w:r>
            <w:r>
              <w:rPr>
                <w:color w:val="000000"/>
                <w:sz w:val="22"/>
                <w:szCs w:val="22"/>
                <w:highlight w:val="white"/>
              </w:rPr>
            </w:r>
            <w:r>
              <w:rPr>
                <w:color w:val="000000"/>
                <w:sz w:val="22"/>
                <w:szCs w:val="22"/>
                <w:highlight w:val="white"/>
              </w:rPr>
            </w:r>
          </w:p>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РР.020 </w:t>
            </w:r>
            <w:r>
              <w:rPr>
                <w:color w:val="000000"/>
                <w:sz w:val="22"/>
                <w:szCs w:val="22"/>
                <w:highlight w:val="white"/>
              </w:rPr>
              <w:t xml:space="preserve">ТОФК.Просмотр</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Главный бухгалтер - должностное лицо с полномочиями по организации и ведению бухгалтерского учета, имеющее право второй подписи денежных и расчетных документов, финансовых обязательств.</w:t>
            </w:r>
            <w:r>
              <w:rPr>
                <w:color w:val="000000"/>
                <w:sz w:val="22"/>
                <w:szCs w:val="22"/>
                <w:highlight w:val="white"/>
              </w:rPr>
            </w:r>
            <w:r>
              <w:rPr>
                <w:color w:val="000000"/>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ПУР.Главный</w:t>
            </w:r>
            <w:r>
              <w:rPr>
                <w:color w:val="000000"/>
                <w:sz w:val="22"/>
                <w:szCs w:val="22"/>
                <w:highlight w:val="white"/>
              </w:rPr>
              <w:t xml:space="preserve"> бухгалтер. ТОФК</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 </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4239"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Руководитель ТОФК - руководитель УФК по субъекту РФ. Должностное лицо, имеющее право первой подписи.</w:t>
            </w:r>
            <w:r>
              <w:rPr>
                <w:sz w:val="22"/>
                <w:szCs w:val="22"/>
                <w:highlight w:val="white"/>
              </w:rPr>
            </w:r>
            <w:r>
              <w:rPr>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color w:val="000000"/>
                <w:sz w:val="22"/>
                <w:szCs w:val="22"/>
                <w:highlight w:val="white"/>
              </w:rPr>
            </w:r>
            <w:r>
              <w:rPr>
                <w:color w:val="000000"/>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Руководитель ТОФК</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4239"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 запроса на проведение документа в ручном режиме на уровне ТОФК</w:t>
            </w:r>
            <w:r>
              <w:rPr>
                <w:sz w:val="22"/>
                <w:szCs w:val="22"/>
                <w:highlight w:val="white"/>
              </w:rPr>
            </w:r>
            <w:r>
              <w:rPr>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1856"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sz w:val="22"/>
                <w:szCs w:val="22"/>
                <w:highlight w:val="white"/>
              </w:rPr>
            </w:r>
            <w:r>
              <w:rPr>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3118"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ФК. Отключение контролей ТОФК</w:t>
            </w:r>
            <w:r>
              <w:rPr>
                <w:sz w:val="22"/>
                <w:szCs w:val="22"/>
                <w:highlight w:val="white"/>
              </w:rPr>
            </w:r>
            <w:r>
              <w:rPr>
                <w:sz w:val="22"/>
                <w:szCs w:val="22"/>
                <w:highlight w:val="white"/>
              </w:rPr>
            </w:r>
          </w:p>
        </w:tc>
      </w:tr>
      <w:tr>
        <w:tblPrEx/>
        <w:trPr>
          <w:trHeight w:val="300"/>
        </w:trPr>
        <w:tc>
          <w:tcPr>
            <w:gridSpan w:val="4"/>
            <w:tcBorders>
              <w:top w:val="single" w:color="000000" w:sz="4" w:space="0"/>
            </w:tcBorders>
            <w:tcMar>
              <w:left w:w="108" w:type="dxa"/>
              <w:right w:w="108" w:type="dxa"/>
            </w:tcMar>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Для Счетной палаты Российской Федерации</w:t>
            </w:r>
            <w:r>
              <w:rPr>
                <w:b/>
                <w:color w:val="000000"/>
                <w:highlight w:val="white"/>
              </w:rPr>
            </w:r>
            <w:r>
              <w:rPr>
                <w:b/>
                <w:color w:val="000000"/>
                <w:highlight w:val="white"/>
              </w:rPr>
            </w:r>
          </w:p>
        </w:tc>
      </w:tr>
      <w:tr>
        <w:tblPrEx/>
        <w:trPr>
          <w:trHeight w:val="285"/>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Предоставление информации для Счетной палаты</w:t>
            </w:r>
            <w:r>
              <w:rPr>
                <w:color w:val="000000"/>
                <w:sz w:val="22"/>
                <w:szCs w:val="22"/>
                <w:highlight w:val="white"/>
              </w:rPr>
            </w:r>
            <w:r>
              <w:rPr>
                <w:color w:val="000000"/>
                <w:sz w:val="22"/>
                <w:szCs w:val="22"/>
                <w:highlight w:val="white"/>
              </w:rPr>
            </w:r>
          </w:p>
        </w:tc>
        <w:tc>
          <w:tcPr>
            <w:tcMar>
              <w:left w:w="108" w:type="dxa"/>
              <w:right w:w="108" w:type="dxa"/>
            </w:tcMar>
            <w:tcW w:w="1856"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108" w:type="dxa"/>
              <w:right w:w="108" w:type="dxa"/>
            </w:tcMar>
            <w:tcW w:w="3118"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СП.002 Отчетность (СП)</w:t>
            </w:r>
            <w:r>
              <w:rPr>
                <w:color w:val="000000"/>
                <w:sz w:val="22"/>
                <w:szCs w:val="22"/>
                <w:highlight w:val="white"/>
              </w:rPr>
            </w:r>
            <w:r>
              <w:rPr>
                <w:color w:val="000000"/>
                <w:sz w:val="22"/>
                <w:szCs w:val="22"/>
                <w:highlight w:val="white"/>
              </w:rPr>
            </w:r>
          </w:p>
        </w:tc>
      </w:tr>
      <w:tr>
        <w:tblPrEx/>
        <w:trPr>
          <w:trHeight w:val="300"/>
        </w:trPr>
        <w:tc>
          <w:tcPr>
            <w:gridSpan w:val="4"/>
            <w:tcBorders>
              <w:top w:val="single" w:color="000000" w:sz="4" w:space="0"/>
            </w:tcBorders>
            <w:tcMar>
              <w:left w:w="108" w:type="dxa"/>
              <w:right w:w="108" w:type="dxa"/>
            </w:tcMar>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С</w:t>
            </w:r>
            <w:r>
              <w:rPr>
                <w:b/>
                <w:highlight w:val="white"/>
              </w:rPr>
              <w:t xml:space="preserve">пециальные полномочия </w:t>
            </w:r>
            <w:r>
              <w:rPr>
                <w:b/>
                <w:color w:val="000000"/>
                <w:highlight w:val="white"/>
              </w:rPr>
              <w:t xml:space="preserve">подсистемы управления расходами оператора государственной интегрированной информационной системы управления общественными финансами «Электронный бюджет»</w:t>
            </w:r>
            <w:r>
              <w:rPr>
                <w:rStyle w:val="1325"/>
                <w:b/>
                <w:color w:val="000000"/>
                <w:highlight w:val="white"/>
              </w:rPr>
              <w:footnoteReference w:id="13"/>
            </w:r>
            <w:r>
              <w:rPr>
                <w:b/>
                <w:color w:val="000000"/>
                <w:highlight w:val="white"/>
              </w:rPr>
            </w:r>
            <w:r>
              <w:rPr>
                <w:b/>
                <w:color w:val="000000"/>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всех документов по управлению расходами бюджетов</w:t>
            </w:r>
            <w:r>
              <w:rPr>
                <w:color w:val="000000"/>
                <w:sz w:val="22"/>
                <w:szCs w:val="22"/>
                <w:highlight w:val="white"/>
              </w:rPr>
            </w:r>
            <w:r>
              <w:rPr>
                <w:color w:val="000000"/>
                <w:sz w:val="22"/>
                <w:szCs w:val="22"/>
                <w:highlight w:val="white"/>
              </w:rPr>
            </w:r>
          </w:p>
        </w:tc>
        <w:tc>
          <w:tcPr>
            <w:tcMar>
              <w:left w:w="108" w:type="dxa"/>
              <w:right w:w="108" w:type="dxa"/>
            </w:tcMar>
            <w:tcW w:w="1856"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108" w:type="dxa"/>
              <w:right w:w="108" w:type="dxa"/>
            </w:tcMar>
            <w:tcW w:w="3118"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CRT_Просмотр_всего</w:t>
            </w:r>
            <w:r>
              <w:rPr>
                <w:color w:val="000000"/>
                <w:sz w:val="22"/>
                <w:szCs w:val="22"/>
                <w:highlight w:val="white"/>
              </w:rPr>
              <w:t xml:space="preserve">. Просмотр</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документов по учету, доведению и отражению на ЛС ГРБС/ГАИФ показателей сводной бюджетной росписи</w:t>
            </w:r>
            <w:r>
              <w:rPr>
                <w:color w:val="000000"/>
                <w:sz w:val="22"/>
                <w:szCs w:val="22"/>
                <w:highlight w:val="white"/>
              </w:rPr>
            </w:r>
            <w:r>
              <w:rPr>
                <w:color w:val="000000"/>
                <w:sz w:val="22"/>
                <w:szCs w:val="22"/>
                <w:highlight w:val="white"/>
              </w:rPr>
            </w:r>
          </w:p>
        </w:tc>
        <w:tc>
          <w:tcPr>
            <w:tcMar>
              <w:left w:w="108" w:type="dxa"/>
              <w:right w:w="108" w:type="dxa"/>
            </w:tcMar>
            <w:tcW w:w="1856"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108" w:type="dxa"/>
              <w:right w:w="108" w:type="dxa"/>
            </w:tcMar>
            <w:tcW w:w="3118"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ДБД.006 Просмотр состояния всех ЛС</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всех документов по распределению бюджетных данных</w:t>
            </w:r>
            <w:r>
              <w:rPr>
                <w:color w:val="000000"/>
                <w:sz w:val="22"/>
                <w:szCs w:val="22"/>
                <w:highlight w:val="white"/>
              </w:rPr>
            </w:r>
            <w:r>
              <w:rPr>
                <w:color w:val="000000"/>
                <w:sz w:val="22"/>
                <w:szCs w:val="22"/>
                <w:highlight w:val="white"/>
              </w:rPr>
            </w:r>
          </w:p>
        </w:tc>
        <w:tc>
          <w:tcPr>
            <w:tcMar>
              <w:left w:w="108" w:type="dxa"/>
              <w:right w:w="108" w:type="dxa"/>
            </w:tcMar>
            <w:tcW w:w="1856"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108" w:type="dxa"/>
              <w:right w:w="108" w:type="dxa"/>
            </w:tcMar>
            <w:tcW w:w="3118"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РР.022 Просмотр всего </w:t>
            </w:r>
            <w:r>
              <w:rPr>
                <w:color w:val="000000"/>
                <w:sz w:val="22"/>
                <w:szCs w:val="22"/>
                <w:highlight w:val="white"/>
              </w:rPr>
              <w:t xml:space="preserve">ОрФК</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всех документов по ведению реестра соглашений</w:t>
            </w:r>
            <w:r>
              <w:rPr>
                <w:color w:val="000000"/>
                <w:sz w:val="22"/>
                <w:szCs w:val="22"/>
                <w:highlight w:val="white"/>
              </w:rPr>
            </w:r>
            <w:r>
              <w:rPr>
                <w:color w:val="000000"/>
                <w:sz w:val="22"/>
                <w:szCs w:val="22"/>
                <w:highlight w:val="white"/>
              </w:rPr>
            </w:r>
          </w:p>
        </w:tc>
        <w:tc>
          <w:tcPr>
            <w:tcMar>
              <w:left w:w="108" w:type="dxa"/>
              <w:right w:w="108" w:type="dxa"/>
            </w:tcMar>
            <w:tcW w:w="1856"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РС.006 Просмотр всех данных СБО (ГРБС)</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всех документов по операциям с бюджетными и денежными обязательствами</w:t>
            </w:r>
            <w:r>
              <w:rPr>
                <w:color w:val="000000"/>
                <w:sz w:val="22"/>
                <w:szCs w:val="22"/>
                <w:highlight w:val="white"/>
              </w:rPr>
            </w:r>
            <w:r>
              <w:rPr>
                <w:color w:val="000000"/>
                <w:sz w:val="22"/>
                <w:szCs w:val="22"/>
                <w:highlight w:val="white"/>
              </w:rPr>
            </w:r>
          </w:p>
        </w:tc>
        <w:tc>
          <w:tcPr>
            <w:tcMar>
              <w:left w:w="108" w:type="dxa"/>
              <w:right w:w="108" w:type="dxa"/>
            </w:tcMar>
            <w:tcW w:w="1856"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БО,ДО.009 </w:t>
            </w:r>
            <w:r>
              <w:rPr>
                <w:color w:val="000000"/>
                <w:sz w:val="22"/>
                <w:szCs w:val="22"/>
                <w:highlight w:val="white"/>
              </w:rPr>
              <w:t xml:space="preserve">ТОФК.Просмотр</w:t>
            </w:r>
            <w:r>
              <w:rPr>
                <w:color w:val="000000"/>
                <w:sz w:val="22"/>
                <w:szCs w:val="22"/>
                <w:highlight w:val="white"/>
              </w:rPr>
              <w:t xml:space="preserve"> всего БО,ДО</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39" w:type="dxa"/>
            <w:vAlign w:val="center"/>
            <w:vMerge w:val="restart"/>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и мониторинг всех сведений об операциях, отраженных на лицевых счетах, в разрезе первичных документов за соответствующий операционный день, полученных из ИС АСФК в виде Описей</w:t>
            </w:r>
            <w:r>
              <w:rPr>
                <w:color w:val="000000"/>
                <w:sz w:val="22"/>
                <w:szCs w:val="22"/>
                <w:highlight w:val="white"/>
              </w:rPr>
            </w:r>
            <w:r>
              <w:rPr>
                <w:color w:val="000000"/>
                <w:sz w:val="22"/>
                <w:szCs w:val="22"/>
                <w:highlight w:val="white"/>
              </w:rPr>
            </w:r>
          </w:p>
        </w:tc>
        <w:tc>
          <w:tcPr>
            <w:tcMar>
              <w:left w:w="108" w:type="dxa"/>
              <w:right w:w="108" w:type="dxa"/>
            </w:tcMar>
            <w:tcW w:w="1856" w:type="dxa"/>
            <w:vAlign w:val="center"/>
            <w:vMerge w:val="restart"/>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ЦЛС.002 Просмотр всех данных</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108" w:type="dxa"/>
              <w:right w:w="108" w:type="dxa"/>
            </w:tcMar>
            <w:tcW w:w="1856"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ЦЛС.006 Мониторинг описи 03, 14 ЛС</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108" w:type="dxa"/>
              <w:right w:w="108" w:type="dxa"/>
            </w:tcMar>
            <w:tcW w:w="1856"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ЦЛС.007 Мониторинг описи 41 ЛС</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локальных справочников ПУР </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НСИ.002 </w:t>
            </w:r>
            <w:r>
              <w:rPr>
                <w:color w:val="000000"/>
                <w:sz w:val="22"/>
                <w:szCs w:val="22"/>
                <w:highlight w:val="white"/>
              </w:rPr>
              <w:t xml:space="preserve">ФК.Редактирование</w:t>
            </w:r>
            <w:r>
              <w:rPr>
                <w:color w:val="000000"/>
                <w:sz w:val="22"/>
                <w:szCs w:val="22"/>
                <w:highlight w:val="white"/>
              </w:rPr>
              <w:t xml:space="preserve"> записи Справочника причин отказа</w:t>
            </w:r>
            <w:r>
              <w:rPr>
                <w:rStyle w:val="1325"/>
                <w:color w:val="000000"/>
                <w:sz w:val="22"/>
                <w:szCs w:val="22"/>
                <w:highlight w:val="white"/>
              </w:rPr>
              <w:footnoteReference w:id="14"/>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 локальных справочников ПУР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НСИ.001 </w:t>
            </w:r>
            <w:r>
              <w:rPr>
                <w:color w:val="000000"/>
                <w:sz w:val="22"/>
                <w:szCs w:val="22"/>
                <w:highlight w:val="white"/>
              </w:rPr>
              <w:t xml:space="preserve">ФК.Справочник</w:t>
            </w:r>
            <w:r>
              <w:rPr>
                <w:color w:val="000000"/>
                <w:sz w:val="22"/>
                <w:szCs w:val="22"/>
                <w:highlight w:val="white"/>
              </w:rPr>
              <w:t xml:space="preserve"> причин отказа</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bookmarkStart w:id="1" w:name="_heading=h.2je7yl9b282"/>
            <w:r>
              <w:rPr>
                <w:highlight w:val="white"/>
              </w:rPr>
            </w:r>
            <w:bookmarkStart w:id="2" w:name="_heading=h.gjdgxs"/>
            <w:r>
              <w:rPr>
                <w:highlight w:val="white"/>
              </w:rPr>
            </w:r>
            <w:bookmarkEnd w:id="1"/>
            <w:r>
              <w:rPr>
                <w:highlight w:val="white"/>
              </w:rPr>
            </w:r>
            <w:bookmarkEnd w:id="2"/>
            <w:r>
              <w:rPr>
                <w:highlight w:val="white"/>
              </w:rPr>
            </w:r>
            <w:r>
              <w:rPr>
                <w:highlight w:val="white"/>
              </w:rPr>
            </w:r>
          </w:p>
        </w:tc>
        <w:tc>
          <w:tcPr>
            <w:tcMar>
              <w:left w:w="108" w:type="dxa"/>
              <w:right w:w="108" w:type="dxa"/>
            </w:tcMar>
            <w:tcW w:w="423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Принятие решение о понижении контроля на доступный остаток</w:t>
            </w:r>
            <w:r>
              <w:rPr>
                <w:color w:val="000000"/>
                <w:sz w:val="22"/>
                <w:szCs w:val="22"/>
                <w:highlight w:val="white"/>
              </w:rPr>
            </w:r>
            <w:r>
              <w:rPr>
                <w:color w:val="000000"/>
                <w:sz w:val="22"/>
                <w:szCs w:val="22"/>
                <w:highlight w:val="white"/>
              </w:rPr>
            </w:r>
          </w:p>
        </w:tc>
        <w:tc>
          <w:tcPr>
            <w:tcMar>
              <w:left w:w="108" w:type="dxa"/>
              <w:right w:w="108" w:type="dxa"/>
            </w:tcMar>
            <w:tcW w:w="1856" w:type="dxa"/>
            <w:vAlign w:val="center"/>
            <w:textDirection w:val="lrTb"/>
            <w:noWrap w:val="false"/>
          </w:tcPr>
          <w:p>
            <w:pPr>
              <w:ind w:left="57" w:right="57" w:hanging="57"/>
              <w:rPr>
                <w:color w:val="000000"/>
                <w:sz w:val="22"/>
                <w:szCs w:val="22"/>
                <w:highlight w:val="white"/>
              </w:rPr>
            </w:pPr>
            <w:r>
              <w:rPr>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108" w:type="dxa"/>
              <w:right w:w="108" w:type="dxa"/>
            </w:tcMar>
            <w:tcW w:w="3118"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ФК.Спец.полномочия</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c>
          <w:tcPr>
            <w:tcMar>
              <w:left w:w="108" w:type="dxa"/>
              <w:right w:w="108" w:type="dxa"/>
            </w:tcMar>
            <w:tcW w:w="4239" w:type="dxa"/>
            <w:textDirection w:val="lrTb"/>
            <w:noWrap w:val="false"/>
          </w:tcPr>
          <w:p>
            <w:pPr>
              <w:ind w:left="57" w:right="57" w:hanging="57"/>
              <w:rPr>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справочников ПУР по риск-ориентированному санкционированию</w:t>
            </w:r>
            <w:r>
              <w:rPr>
                <w:rStyle w:val="1325"/>
                <w:highlight w:val="white"/>
              </w:rPr>
              <w:footnoteReference w:id="15"/>
            </w:r>
            <w:r>
              <w:rPr>
                <w:highlight w:val="white"/>
              </w:rPr>
            </w:r>
            <w:r>
              <w:rPr>
                <w:highlight w:val="white"/>
              </w:rPr>
            </w:r>
          </w:p>
        </w:tc>
        <w:tc>
          <w:tcPr>
            <w:tcMar>
              <w:left w:w="108" w:type="dxa"/>
              <w:right w:w="108" w:type="dxa"/>
            </w:tcMar>
            <w:tcW w:w="1856"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108" w:type="dxa"/>
              <w:right w:w="108" w:type="dxa"/>
            </w:tcMar>
            <w:tcW w:w="3118" w:type="dxa"/>
            <w:textDirection w:val="lrTb"/>
            <w:noWrap w:val="false"/>
          </w:tcPr>
          <w:p>
            <w:pPr>
              <w:ind w:left="57" w:right="57" w:hanging="57"/>
              <w:rPr>
                <w:color w:val="000000"/>
                <w:sz w:val="22"/>
                <w:szCs w:val="22"/>
                <w:highlight w:val="white"/>
              </w:rPr>
            </w:pPr>
            <w:r>
              <w:rPr>
                <w:color w:val="000000"/>
                <w:sz w:val="22"/>
                <w:szCs w:val="22"/>
                <w:highlight w:val="white"/>
              </w:rPr>
              <w:t xml:space="preserve">НСИ.003 </w:t>
            </w:r>
            <w:r>
              <w:rPr>
                <w:color w:val="000000"/>
                <w:sz w:val="22"/>
                <w:szCs w:val="22"/>
                <w:highlight w:val="white"/>
              </w:rPr>
              <w:t xml:space="preserve">ФК.Редактирование</w:t>
            </w:r>
            <w:r>
              <w:rPr>
                <w:color w:val="000000"/>
                <w:sz w:val="22"/>
                <w:szCs w:val="22"/>
                <w:highlight w:val="white"/>
              </w:rPr>
              <w:t xml:space="preserve"> РОС</w:t>
            </w:r>
            <w:r>
              <w:rPr>
                <w:color w:val="000000"/>
                <w:sz w:val="22"/>
                <w:szCs w:val="22"/>
                <w:highlight w:val="white"/>
              </w:rPr>
            </w:r>
            <w:r>
              <w:rPr>
                <w:color w:val="000000"/>
                <w:sz w:val="22"/>
                <w:szCs w:val="22"/>
                <w:highlight w:val="white"/>
              </w:rPr>
            </w:r>
          </w:p>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c>
          <w:tcPr>
            <w:tcMar>
              <w:left w:w="108" w:type="dxa"/>
              <w:right w:w="108" w:type="dxa"/>
            </w:tcMar>
            <w:tcW w:w="4239"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 запроса на проведение документа в ручном режиме </w:t>
            </w:r>
            <w:r>
              <w:rPr>
                <w:sz w:val="22"/>
                <w:szCs w:val="22"/>
                <w:highlight w:val="white"/>
              </w:rPr>
            </w:r>
            <w:r>
              <w:rPr>
                <w:sz w:val="22"/>
                <w:szCs w:val="22"/>
                <w:highlight w:val="white"/>
              </w:rPr>
            </w:r>
          </w:p>
        </w:tc>
        <w:tc>
          <w:tcPr>
            <w:tcMar>
              <w:left w:w="108" w:type="dxa"/>
              <w:right w:w="108" w:type="dxa"/>
            </w:tcMar>
            <w:tcW w:w="1856"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sz w:val="22"/>
                <w:szCs w:val="22"/>
                <w:highlight w:val="white"/>
              </w:rPr>
            </w:r>
            <w:r>
              <w:rPr>
                <w:sz w:val="22"/>
                <w:szCs w:val="22"/>
                <w:highlight w:val="white"/>
              </w:rPr>
            </w:r>
          </w:p>
        </w:tc>
        <w:tc>
          <w:tcPr>
            <w:tcMar>
              <w:left w:w="108" w:type="dxa"/>
              <w:right w:w="108" w:type="dxa"/>
            </w:tcMar>
            <w:tcW w:w="3118"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ФК. Отключение контролей ФК</w:t>
            </w:r>
            <w:r>
              <w:rPr>
                <w:sz w:val="22"/>
                <w:szCs w:val="22"/>
                <w:highlight w:val="white"/>
              </w:rPr>
            </w:r>
            <w:r>
              <w:rPr>
                <w:sz w:val="22"/>
                <w:szCs w:val="22"/>
                <w:highlight w:val="white"/>
              </w:rPr>
            </w:r>
          </w:p>
        </w:tc>
      </w:tr>
    </w:tbl>
    <w:p>
      <w:pPr>
        <w:rPr>
          <w:highlight w:val="white"/>
        </w:rPr>
      </w:pPr>
      <w:r>
        <w:rPr>
          <w:highlight w:val="white"/>
        </w:rPr>
        <w:br w:type="page" w:clear="all"/>
      </w:r>
      <w:r>
        <w:rPr>
          <w:highlight w:val="white"/>
        </w:rPr>
      </w:r>
      <w:r>
        <w:rPr>
          <w:highlight w:val="white"/>
        </w:rPr>
      </w:r>
    </w:p>
    <w:p>
      <w:pPr>
        <w:spacing w:before="120" w:after="60"/>
        <w:rPr>
          <w:color w:val="000000"/>
          <w:sz w:val="24"/>
          <w:szCs w:val="24"/>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4"/>
          <w:szCs w:val="24"/>
          <w:highlight w:val="white"/>
        </w:rPr>
        <w:t xml:space="preserve">Информация о соответствии полномочий, указанных в заявке на подключение пользователей перечню ролей доступа, настроенных для работы в подсистеме управления расходами (Компонент АУ, БУ ПУР ЭБ) государственной интегрированной информационной системы управлени</w:t>
      </w:r>
      <w:r>
        <w:rPr>
          <w:color w:val="000000"/>
          <w:sz w:val="24"/>
          <w:szCs w:val="24"/>
          <w:highlight w:val="white"/>
        </w:rPr>
        <w:t xml:space="preserve">я общественными финансами «Электронный бюджет».</w:t>
      </w:r>
      <w:r>
        <w:rPr>
          <w:color w:val="000000"/>
          <w:sz w:val="24"/>
          <w:szCs w:val="24"/>
          <w:highlight w:val="white"/>
        </w:rPr>
      </w:r>
      <w:r>
        <w:rPr>
          <w:color w:val="000000"/>
          <w:sz w:val="24"/>
          <w:szCs w:val="24"/>
          <w:highlight w:val="white"/>
        </w:rPr>
      </w:r>
    </w:p>
    <w:p>
      <w:pPr>
        <w:shd w:val="clear" w:color="auto" w:fill="ffffff"/>
        <w:rPr>
          <w:color w:val="000000"/>
          <w:highlight w:val="white"/>
        </w:rPr>
      </w:pPr>
      <w:r>
        <w:rPr>
          <w:color w:val="000000"/>
          <w:highlight w:val="white"/>
        </w:rPr>
      </w:r>
      <w:r>
        <w:rPr>
          <w:color w:val="000000"/>
          <w:highlight w:val="white"/>
        </w:rPr>
      </w:r>
      <w:r>
        <w:rPr>
          <w:color w:val="000000"/>
          <w:highlight w:val="white"/>
        </w:rPr>
      </w:r>
    </w:p>
    <w:p>
      <w:pPr>
        <w:shd w:val="clear" w:color="auto" w:fill="ffffff"/>
        <w:rPr>
          <w:color w:val="000000"/>
          <w:highlight w:val="white"/>
        </w:rPr>
      </w:pPr>
      <w:r>
        <w:rPr>
          <w:color w:val="000000"/>
          <w:highlight w:val="white"/>
        </w:rPr>
      </w:r>
      <w:r>
        <w:rPr>
          <w:color w:val="000000"/>
          <w:highlight w:val="white"/>
        </w:rPr>
      </w:r>
      <w:r>
        <w:rPr>
          <w:color w:val="000000"/>
          <w:highlight w:val="white"/>
        </w:rPr>
      </w:r>
    </w:p>
    <w:tbl>
      <w:tblPr>
        <w:tblW w:w="9747" w:type="dxa"/>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34"/>
        <w:gridCol w:w="4229"/>
        <w:gridCol w:w="1866"/>
        <w:gridCol w:w="3118"/>
      </w:tblGrid>
      <w:tr>
        <w:tblPrEx/>
        <w:trPr>
          <w:trHeight w:val="947"/>
          <w:tblHeader/>
        </w:trPr>
        <w:tc>
          <w:tcPr>
            <w:shd w:val="clear" w:color="auto" w:fill="auto"/>
            <w:tcW w:w="534"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 п/п</w:t>
            </w:r>
            <w:r>
              <w:rPr>
                <w:b/>
                <w:color w:val="000000"/>
                <w:sz w:val="22"/>
                <w:szCs w:val="22"/>
                <w:highlight w:val="white"/>
              </w:rPr>
            </w:r>
            <w:r>
              <w:rPr>
                <w:b/>
                <w:color w:val="000000"/>
                <w:sz w:val="22"/>
                <w:szCs w:val="22"/>
                <w:highlight w:val="white"/>
              </w:rPr>
            </w:r>
          </w:p>
        </w:tc>
        <w:tc>
          <w:tcPr>
            <w:gridSpan w:val="2"/>
            <w:shd w:val="clear" w:color="auto" w:fill="auto"/>
            <w:tcMar>
              <w:left w:w="30" w:type="dxa"/>
              <w:top w:w="0" w:type="dxa"/>
              <w:right w:w="30" w:type="dxa"/>
              <w:bottom w:w="0" w:type="dxa"/>
            </w:tcMar>
            <w:tcW w:w="6095"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Полномочие</w:t>
            </w:r>
            <w:r>
              <w:rPr>
                <w:b/>
                <w:color w:val="000000"/>
                <w:sz w:val="22"/>
                <w:szCs w:val="22"/>
                <w:highlight w:val="white"/>
              </w:rPr>
            </w:r>
            <w:r>
              <w:rPr>
                <w:b/>
                <w:color w:val="000000"/>
                <w:sz w:val="22"/>
                <w:szCs w:val="22"/>
                <w:highlight w:val="white"/>
              </w:rPr>
            </w:r>
          </w:p>
        </w:tc>
        <w:tc>
          <w:tcPr>
            <w:shd w:val="clear" w:color="auto" w:fill="auto"/>
            <w:tcW w:w="3118"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Код роли доступа в системе «Электронный бюджет»</w:t>
            </w:r>
            <w:r>
              <w:rPr>
                <w:b/>
                <w:color w:val="000000"/>
                <w:sz w:val="22"/>
                <w:szCs w:val="22"/>
                <w:highlight w:val="white"/>
              </w:rPr>
            </w:r>
            <w:r>
              <w:rPr>
                <w:b/>
                <w:color w:val="000000"/>
                <w:sz w:val="22"/>
                <w:szCs w:val="22"/>
                <w:highlight w:val="white"/>
              </w:rPr>
            </w:r>
          </w:p>
        </w:tc>
      </w:tr>
      <w:tr>
        <w:tblPrEx/>
        <w:trPr>
          <w:trHeight w:val="200"/>
        </w:trPr>
        <w:tc>
          <w:tcPr>
            <w:gridSpan w:val="4"/>
            <w:tcW w:w="9747" w:type="dxa"/>
            <w:textDirection w:val="lrTb"/>
            <w:noWrap w:val="false"/>
          </w:tcPr>
          <w:p>
            <w:pPr>
              <w:ind w:left="57" w:right="57"/>
              <w:jc w:val="center"/>
              <w:spacing w:before="120" w:after="120"/>
              <w:rPr>
                <w:b/>
                <w:color w:val="000000"/>
                <w:highlight w:val="white"/>
                <w:vertAlign w:val="superscript"/>
              </w:rPr>
            </w:pPr>
            <w:r>
              <w:rPr>
                <w:b/>
                <w:color w:val="000000"/>
                <w:highlight w:val="white"/>
              </w:rPr>
              <w:t xml:space="preserve">Для федеральных бюджетных учреждений и федеральных автономных учреждений (далее – Клиент)</w:t>
            </w:r>
            <w:r>
              <w:rPr>
                <w:rStyle w:val="1325"/>
                <w:b/>
                <w:color w:val="000000"/>
                <w:highlight w:val="white"/>
              </w:rPr>
              <w:footnoteReference w:id="16"/>
            </w:r>
            <w:r>
              <w:rPr>
                <w:b/>
                <w:color w:val="000000"/>
                <w:highlight w:val="white"/>
                <w:vertAlign w:val="superscript"/>
              </w:rPr>
            </w:r>
            <w:r>
              <w:rPr>
                <w:b/>
                <w:color w:val="000000"/>
                <w:highlight w:val="white"/>
                <w:vertAlign w:val="superscript"/>
              </w:rPr>
            </w:r>
          </w:p>
        </w:tc>
      </w:tr>
      <w:tr>
        <w:tblPrEx/>
        <w:trPr>
          <w:trHeight w:val="746"/>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29" w:type="dxa"/>
            <w:vAlign w:val="center"/>
            <w:vMerge w:val="restart"/>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платежных документов для осуществления операций со средствами автономных и бюджетных учреждений</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АУ_БУ_001 Клиент. Ввод данных</w:t>
            </w:r>
            <w:r>
              <w:rPr>
                <w:color w:val="000000"/>
                <w:sz w:val="22"/>
                <w:szCs w:val="22"/>
                <w:highlight w:val="white"/>
              </w:rPr>
            </w:r>
            <w:r>
              <w:rPr>
                <w:color w:val="000000"/>
                <w:sz w:val="22"/>
                <w:szCs w:val="22"/>
                <w:highlight w:val="white"/>
              </w:rPr>
            </w:r>
          </w:p>
        </w:tc>
      </w:tr>
      <w:tr>
        <w:tblPrEx/>
        <w:trPr>
          <w:trHeight w:val="698"/>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29" w:type="dxa"/>
            <w:vAlign w:val="center"/>
            <w:vMerge w:val="continue"/>
            <w:textDirection w:val="lrTb"/>
            <w:noWrap w:val="false"/>
          </w:tcPr>
          <w:p>
            <w:pPr>
              <w:ind w:left="57" w:right="57" w:hanging="57"/>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АУ_БУ_006 Клиент. Просмотр данных</w:t>
            </w:r>
            <w:r>
              <w:rPr>
                <w:color w:val="000000"/>
                <w:sz w:val="22"/>
                <w:szCs w:val="22"/>
                <w:highlight w:val="white"/>
              </w:rPr>
            </w:r>
            <w:r>
              <w:rPr>
                <w:color w:val="000000"/>
                <w:sz w:val="22"/>
                <w:szCs w:val="22"/>
                <w:highlight w:val="white"/>
              </w:rPr>
            </w:r>
          </w:p>
        </w:tc>
      </w:tr>
      <w:tr>
        <w:tblPrEx/>
        <w:trPr>
          <w:trHeight w:val="778"/>
        </w:trPr>
        <w:tc>
          <w:tcP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4229" w:type="dxa"/>
            <w:vAlign w:val="center"/>
            <w:vMerge w:val="continue"/>
            <w:textDirection w:val="lrTb"/>
            <w:noWrap w:val="false"/>
          </w:tcPr>
          <w:p>
            <w:pPr>
              <w:ind w:left="57" w:right="57" w:hanging="57"/>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АУ_БУ_002 Клиент. Согласование данных</w:t>
            </w:r>
            <w:r>
              <w:rPr>
                <w:color w:val="000000"/>
                <w:sz w:val="22"/>
                <w:szCs w:val="22"/>
                <w:highlight w:val="white"/>
              </w:rPr>
            </w:r>
            <w:r>
              <w:rPr>
                <w:color w:val="000000"/>
                <w:sz w:val="22"/>
                <w:szCs w:val="22"/>
                <w:highlight w:val="white"/>
              </w:rPr>
            </w:r>
          </w:p>
        </w:tc>
      </w:tr>
      <w:tr>
        <w:tblPrEx/>
        <w:trPr>
          <w:trHeight w:val="872"/>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2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для осуществления операций со средствами автономных и бюджетных учреждений</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АУ_БУ_003 Клиент. Утверждение данных</w:t>
            </w:r>
            <w:r>
              <w:rPr>
                <w:rStyle w:val="1325"/>
                <w:color w:val="000000"/>
                <w:sz w:val="22"/>
                <w:szCs w:val="22"/>
                <w:highlight w:val="white"/>
              </w:rPr>
              <w:footnoteReference w:customMarkFollows="1" w:id="17"/>
            </w:r>
            <w:r>
              <w:rPr>
                <w:rStyle w:val="1325"/>
                <w:color w:val="000000"/>
                <w:sz w:val="22"/>
                <w:szCs w:val="22"/>
                <w:highlight w:val="yellow"/>
              </w:rPr>
              <w:t xml:space="preserve">*</w:t>
            </w:r>
            <w:r>
              <w:rPr>
                <w:color w:val="000000"/>
                <w:sz w:val="22"/>
                <w:szCs w:val="22"/>
                <w:highlight w:val="white"/>
              </w:rPr>
            </w:r>
            <w:r>
              <w:rPr>
                <w:color w:val="000000"/>
                <w:sz w:val="22"/>
                <w:szCs w:val="22"/>
                <w:highlight w:val="white"/>
              </w:rPr>
            </w:r>
          </w:p>
        </w:tc>
      </w:tr>
      <w:tr>
        <w:tblPrEx/>
        <w:trPr>
          <w:trHeight w:val="794"/>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2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(Этап. Утверждение главным бухгалтером) в ЛК Клиента</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АУ_БУ_004 Клиент. Главный бухгалтер</w:t>
            </w:r>
            <w:r>
              <w:rPr>
                <w:rStyle w:val="1325"/>
                <w:sz w:val="22"/>
                <w:szCs w:val="22"/>
                <w:highlight w:val="yellow"/>
              </w:rPr>
              <w:footnoteReference w:customMarkFollows="1" w:id="18"/>
              <w:t xml:space="preserve">*</w:t>
            </w:r>
            <w:r>
              <w:rPr>
                <w:color w:val="000000"/>
                <w:sz w:val="22"/>
                <w:szCs w:val="22"/>
                <w:highlight w:val="yellow"/>
              </w:rPr>
            </w:r>
            <w:r>
              <w:rPr>
                <w:color w:val="000000"/>
                <w:sz w:val="22"/>
                <w:szCs w:val="22"/>
                <w:highlight w:val="yellow"/>
              </w:rPr>
            </w:r>
          </w:p>
        </w:tc>
      </w:tr>
      <w:tr>
        <w:tblPrEx/>
        <w:trPr>
          <w:trHeight w:val="794"/>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2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(Этап. Утверждение руководителем ФЭС в ЛК Клиента</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АУ_БУ_005 Клиент. Руководитель ФЭС</w:t>
            </w:r>
            <w:r>
              <w:rPr>
                <w:rStyle w:val="1325"/>
                <w:sz w:val="22"/>
                <w:szCs w:val="22"/>
                <w:highlight w:val="yellow"/>
              </w:rPr>
              <w:footnoteReference w:customMarkFollows="1" w:id="19"/>
              <w:t xml:space="preserve">*</w:t>
            </w:r>
            <w:r>
              <w:rPr>
                <w:sz w:val="22"/>
                <w:szCs w:val="22"/>
                <w:highlight w:val="white"/>
              </w:rPr>
            </w:r>
            <w:r>
              <w:rPr>
                <w:sz w:val="22"/>
                <w:szCs w:val="22"/>
                <w:highlight w:val="white"/>
              </w:rPr>
            </w:r>
          </w:p>
        </w:tc>
      </w:tr>
      <w:tr>
        <w:tblPrEx/>
        <w:trPr>
          <w:trHeight w:val="794"/>
        </w:trPr>
        <w:tc>
          <w:tcP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29" w:type="dxa"/>
            <w:vAlign w:val="center"/>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локальных справочников</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textDirection w:val="lrTb"/>
            <w:noWrap w:val="false"/>
          </w:tcPr>
          <w:p>
            <w:pPr>
              <w:ind w:firstLine="0"/>
              <w:jc w:val="left"/>
              <w:rPr>
                <w:sz w:val="22"/>
                <w:szCs w:val="22"/>
                <w:highlight w:val="white"/>
              </w:rPr>
            </w:pPr>
            <w:r>
              <w:rPr>
                <w:sz w:val="22"/>
                <w:szCs w:val="22"/>
                <w:highlight w:val="white"/>
              </w:rPr>
              <w:t xml:space="preserve">АУ_БУ_008 Работа со справочниками</w:t>
            </w:r>
            <w:r>
              <w:rPr>
                <w:sz w:val="22"/>
                <w:szCs w:val="22"/>
                <w:highlight w:val="white"/>
              </w:rPr>
            </w:r>
            <w:r>
              <w:rPr>
                <w:sz w:val="22"/>
                <w:szCs w:val="22"/>
                <w:highlight w:val="white"/>
              </w:rPr>
            </w:r>
          </w:p>
          <w:p>
            <w:pPr>
              <w:ind w:firstLine="0"/>
              <w:jc w:val="left"/>
              <w:rPr>
                <w:sz w:val="22"/>
                <w:szCs w:val="22"/>
                <w:highlight w:val="white"/>
              </w:rPr>
            </w:pPr>
            <w:r>
              <w:rPr>
                <w:sz w:val="22"/>
                <w:szCs w:val="22"/>
                <w:highlight w:val="white"/>
              </w:rPr>
            </w:r>
            <w:r>
              <w:rPr>
                <w:sz w:val="22"/>
                <w:szCs w:val="22"/>
                <w:highlight w:val="white"/>
              </w:rPr>
            </w:r>
            <w:r>
              <w:rPr>
                <w:sz w:val="22"/>
                <w:szCs w:val="22"/>
                <w:highlight w:val="white"/>
              </w:rPr>
            </w:r>
          </w:p>
        </w:tc>
      </w:tr>
      <w:tr>
        <w:tblPrEx/>
        <w:trPr>
          <w:trHeight w:val="794"/>
        </w:trPr>
        <w:tc>
          <w:tcP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30" w:type="dxa"/>
              <w:top w:w="0" w:type="dxa"/>
              <w:right w:w="30" w:type="dxa"/>
              <w:bottom w:w="0" w:type="dxa"/>
            </w:tcMar>
            <w:tcW w:w="4229" w:type="dxa"/>
            <w:vAlign w:val="center"/>
            <w:vMerge w:val="restart"/>
            <w:textDirection w:val="lrTb"/>
            <w:noWrap w:val="false"/>
          </w:tcPr>
          <w:p>
            <w:pPr>
              <w:ind w:left="57" w:right="57" w:hanging="57"/>
              <w:rPr>
                <w:color w:val="000000"/>
                <w:sz w:val="22"/>
                <w:szCs w:val="22"/>
                <w:highlight w:val="white"/>
              </w:rPr>
            </w:pPr>
            <w:r>
              <w:rPr>
                <w:color w:val="000000"/>
                <w:sz w:val="22"/>
                <w:szCs w:val="22"/>
                <w:highlight w:val="white"/>
              </w:rPr>
              <w:t xml:space="preserve">Формирование запроса на получение регламентированных отчетных форм по лицевым счетам.</w:t>
            </w:r>
            <w:r>
              <w:rPr>
                <w:color w:val="000000"/>
                <w:sz w:val="22"/>
                <w:szCs w:val="22"/>
                <w:highlight w:val="white"/>
              </w:rPr>
            </w:r>
            <w:r>
              <w:rPr>
                <w:color w:val="000000"/>
                <w:sz w:val="22"/>
                <w:szCs w:val="22"/>
                <w:highlight w:val="white"/>
              </w:rPr>
            </w:r>
          </w:p>
          <w:p>
            <w:pPr>
              <w:ind w:left="57" w:right="57" w:hanging="57"/>
              <w:rPr>
                <w:color w:val="000000"/>
                <w:sz w:val="22"/>
                <w:szCs w:val="22"/>
                <w:highlight w:val="white"/>
              </w:rPr>
            </w:pPr>
            <w:r>
              <w:rPr>
                <w:color w:val="000000"/>
                <w:sz w:val="22"/>
                <w:szCs w:val="22"/>
                <w:highlight w:val="white"/>
              </w:rPr>
              <w:t xml:space="preserve">Просмотр отчетов по своей организации</w:t>
            </w:r>
            <w:r>
              <w:rPr>
                <w:color w:val="000000"/>
                <w:sz w:val="22"/>
                <w:szCs w:val="22"/>
                <w:highlight w:val="white"/>
              </w:rPr>
            </w:r>
            <w:r>
              <w:rPr>
                <w:color w:val="000000"/>
                <w:sz w:val="22"/>
                <w:szCs w:val="22"/>
                <w:highlight w:val="white"/>
              </w:rPr>
            </w:r>
          </w:p>
        </w:tc>
        <w:tc>
          <w:tcPr>
            <w:shd w:val="clear" w:color="auto" w:fill="ffffff"/>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firstLine="0"/>
              <w:jc w:val="left"/>
              <w:rPr>
                <w:sz w:val="22"/>
                <w:szCs w:val="22"/>
                <w:highlight w:val="white"/>
              </w:rPr>
            </w:pPr>
            <w:r>
              <w:rPr>
                <w:color w:val="000000"/>
                <w:sz w:val="22"/>
                <w:szCs w:val="22"/>
                <w:highlight w:val="white"/>
              </w:rPr>
              <w:t xml:space="preserve">АУ_БУ_006 Клиент. Просмотр данных</w:t>
            </w:r>
            <w:r>
              <w:rPr>
                <w:sz w:val="22"/>
                <w:szCs w:val="22"/>
                <w:highlight w:val="white"/>
              </w:rPr>
            </w:r>
            <w:r>
              <w:rPr>
                <w:sz w:val="22"/>
                <w:szCs w:val="22"/>
                <w:highlight w:val="white"/>
              </w:rPr>
            </w:r>
          </w:p>
        </w:tc>
      </w:tr>
      <w:tr>
        <w:tblPrEx/>
        <w:trPr>
          <w:trHeight w:val="794"/>
        </w:trPr>
        <w:tc>
          <w:tcPr>
            <w:tcW w:w="534" w:type="dxa"/>
            <w:vMerge w:val="continue"/>
            <w:textDirection w:val="lrTb"/>
            <w:noWrap w:val="false"/>
          </w:tcPr>
          <w:p>
            <w:pPr>
              <w:numPr>
                <w:ilvl w:val="0"/>
                <w:numId w:val="1"/>
              </w:numPr>
              <w:ind w:left="57" w:firstLine="0"/>
              <w:jc w:val="left"/>
              <w:pBdr>
                <w:top w:val="none" w:color="000000" w:sz="4" w:space="0"/>
                <w:left w:val="none" w:color="000000" w:sz="4" w:space="0"/>
                <w:bottom w:val="none" w:color="000000" w:sz="4" w:space="0"/>
                <w:right w:val="none" w:color="000000" w:sz="4" w:space="0"/>
                <w:between w:val="none" w:color="000000" w:sz="4" w:space="0"/>
              </w:pBdr>
            </w:pPr>
            <w:r/>
            <w:r/>
          </w:p>
        </w:tc>
        <w:tc>
          <w:tcPr>
            <w:tcMar>
              <w:left w:w="30" w:type="dxa"/>
              <w:top w:w="0" w:type="dxa"/>
              <w:right w:w="30" w:type="dxa"/>
              <w:bottom w:w="0" w:type="dxa"/>
            </w:tcMar>
            <w:tcW w:w="4229" w:type="dxa"/>
            <w:vAlign w:val="center"/>
            <w:vMerge w:val="continue"/>
            <w:textDirection w:val="lrTb"/>
            <w:noWrap w:val="false"/>
          </w:tcPr>
          <w:p>
            <w:pPr>
              <w:ind w:left="57" w:right="57" w:hanging="57"/>
              <w:rPr>
                <w:color w:val="000000"/>
                <w:sz w:val="22"/>
                <w:szCs w:val="22"/>
              </w:rPr>
            </w:pPr>
            <w:r>
              <w:rPr>
                <w:color w:val="000000"/>
                <w:sz w:val="22"/>
                <w:szCs w:val="22"/>
              </w:rPr>
            </w:r>
            <w:r>
              <w:rPr>
                <w:color w:val="000000"/>
                <w:sz w:val="22"/>
                <w:szCs w:val="22"/>
              </w:rPr>
            </w:r>
            <w:r>
              <w:rPr>
                <w:color w:val="000000"/>
                <w:sz w:val="22"/>
                <w:szCs w:val="22"/>
              </w:rPr>
            </w:r>
          </w:p>
        </w:tc>
        <w:tc>
          <w:tcPr>
            <w:shd w:val="clear" w:color="auto" w:fill="ffffff"/>
            <w:tcMar>
              <w:left w:w="30" w:type="dxa"/>
              <w:top w:w="0" w:type="dxa"/>
              <w:right w:w="30" w:type="dxa"/>
              <w:bottom w:w="0"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Pr>
            <w:r>
              <w:rPr>
                <w:color w:val="000000"/>
                <w:sz w:val="22"/>
                <w:szCs w:val="22"/>
                <w:highlight w:val="white"/>
              </w:rPr>
              <w:t xml:space="preserve">АУ_БУ_031 Клиент. Работа с отчетами</w:t>
            </w:r>
            <w:r>
              <w:rPr>
                <w:color w:val="000000"/>
                <w:sz w:val="22"/>
                <w:szCs w:val="22"/>
                <w:highlight w:val="white"/>
              </w:rPr>
            </w:r>
            <w:r>
              <w:rPr>
                <w:color w:val="000000"/>
                <w:sz w:val="22"/>
                <w:szCs w:val="22"/>
                <w:highlight w:val="white"/>
              </w:rPr>
            </w:r>
          </w:p>
          <w:p>
            <w:pPr>
              <w:ind w:left="57" w:right="57" w:hanging="57"/>
              <w:jc w:val="left"/>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r>
      <w:tr>
        <w:tblPrEx/>
        <w:trPr>
          <w:trHeight w:val="947"/>
        </w:trPr>
        <w:tc>
          <w:tcPr>
            <w:gridSpan w:val="4"/>
            <w:tcMar>
              <w:left w:w="108" w:type="dxa"/>
              <w:right w:w="108" w:type="dxa"/>
            </w:tcMar>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Для органов, осуществляющих функции учредителя (далее – Учредитель)</w:t>
            </w:r>
            <w:r>
              <w:rPr>
                <w:b/>
                <w:color w:val="000000"/>
                <w:highlight w:val="white"/>
              </w:rPr>
            </w:r>
            <w:r>
              <w:rPr>
                <w:b/>
                <w:color w:val="000000"/>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29" w:type="dxa"/>
            <w:textDirection w:val="lrTb"/>
            <w:noWrap w:val="false"/>
          </w:tcPr>
          <w:p>
            <w:pPr>
              <w:ind w:firstLine="0"/>
              <w:rPr>
                <w:sz w:val="22"/>
                <w:szCs w:val="22"/>
                <w:highlight w:val="white"/>
              </w:rPr>
            </w:pPr>
            <w:r>
              <w:rPr>
                <w:sz w:val="22"/>
                <w:szCs w:val="22"/>
                <w:highlight w:val="white"/>
              </w:rPr>
              <w:t xml:space="preserve">Согласование документов "Заявление на возмещение целевых средств"</w:t>
            </w:r>
            <w:r>
              <w:rPr>
                <w:sz w:val="22"/>
                <w:szCs w:val="22"/>
                <w:highlight w:val="white"/>
              </w:rPr>
            </w:r>
            <w:r>
              <w:rPr>
                <w:sz w:val="22"/>
                <w:szCs w:val="22"/>
                <w:highlight w:val="white"/>
              </w:rPr>
            </w:r>
          </w:p>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c>
          <w:tcPr>
            <w:shd w:val="clear" w:color="auto" w:fill="auto"/>
            <w:tcMar>
              <w:left w:w="108" w:type="dxa"/>
              <w:right w:w="108" w:type="dxa"/>
            </w:tcMar>
            <w:tcW w:w="1866" w:type="dxa"/>
            <w:textDirection w:val="lrTb"/>
            <w:noWrap w:val="false"/>
          </w:tcPr>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Согласование</w:t>
            </w:r>
            <w:r>
              <w:rPr>
                <w:sz w:val="22"/>
                <w:szCs w:val="22"/>
                <w:highlight w:val="white"/>
              </w:rPr>
            </w:r>
            <w:r>
              <w:rPr>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sz w:val="22"/>
                <w:szCs w:val="22"/>
                <w:highlight w:val="white"/>
              </w:rPr>
            </w:pPr>
            <w:r>
              <w:rPr>
                <w:sz w:val="22"/>
                <w:szCs w:val="22"/>
                <w:highlight w:val="white"/>
              </w:rPr>
              <w:t xml:space="preserve">АУ_БУ_020 Учредитель. Согласование</w:t>
            </w:r>
            <w:r>
              <w:rPr>
                <w:sz w:val="22"/>
                <w:szCs w:val="22"/>
                <w:highlight w:val="white"/>
              </w:rPr>
            </w:r>
            <w:r>
              <w:rPr>
                <w:sz w:val="22"/>
                <w:szCs w:val="22"/>
                <w:highlight w:val="white"/>
              </w:rPr>
            </w:r>
          </w:p>
        </w:tc>
      </w:tr>
      <w:tr>
        <w:tblPrEx/>
        <w:trPr>
          <w:trHeight w:val="567"/>
        </w:trPr>
        <w:tc>
          <w:tcPr>
            <w:tcBorders>
              <w:bottom w:val="single" w:color="000000" w:sz="4" w:space="0"/>
            </w:tcBorders>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Borders>
              <w:bottom w:val="single" w:color="000000" w:sz="4" w:space="0"/>
            </w:tcBorders>
            <w:tcMar>
              <w:left w:w="108" w:type="dxa"/>
              <w:right w:w="108" w:type="dxa"/>
            </w:tcMar>
            <w:tcW w:w="4229" w:type="dxa"/>
            <w:textDirection w:val="lrTb"/>
            <w:noWrap w:val="false"/>
          </w:tcPr>
          <w:p>
            <w:pPr>
              <w:ind w:firstLine="0"/>
              <w:rPr>
                <w:sz w:val="22"/>
                <w:szCs w:val="22"/>
                <w:highlight w:val="yellow"/>
              </w:rPr>
            </w:pPr>
            <w:r>
              <w:rPr>
                <w:sz w:val="22"/>
                <w:szCs w:val="22"/>
                <w:highlight w:val="white"/>
              </w:rPr>
              <w:t xml:space="preserve">Утверждение документов "Заявление на возмещение целевых средств"</w:t>
            </w:r>
            <w:r>
              <w:rPr>
                <w:sz w:val="22"/>
                <w:szCs w:val="22"/>
                <w:highlight w:val="yellow"/>
              </w:rPr>
            </w:r>
            <w:r>
              <w:rPr>
                <w:sz w:val="22"/>
                <w:szCs w:val="22"/>
                <w:highlight w:val="yellow"/>
              </w:rPr>
            </w:r>
          </w:p>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c>
          <w:tcPr>
            <w:shd w:val="clear" w:color="auto" w:fill="ffffff"/>
            <w:tcBorders>
              <w:bottom w:val="single" w:color="000000" w:sz="4" w:space="0"/>
            </w:tcBorders>
            <w:tcMar>
              <w:left w:w="108" w:type="dxa"/>
              <w:right w:w="108" w:type="dxa"/>
            </w:tcMar>
            <w:tcW w:w="1866" w:type="dxa"/>
            <w:textDirection w:val="lrTb"/>
            <w:noWrap w:val="false"/>
          </w:tcPr>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sz w:val="22"/>
                <w:szCs w:val="22"/>
                <w:highlight w:val="white"/>
              </w:rPr>
            </w:r>
            <w:r>
              <w:rPr>
                <w:sz w:val="22"/>
                <w:szCs w:val="22"/>
                <w:highlight w:val="white"/>
              </w:rPr>
            </w:r>
          </w:p>
        </w:tc>
        <w:tc>
          <w:tcPr>
            <w:shd w:val="clear" w:color="auto" w:fill="auto"/>
            <w:tcBorders>
              <w:bottom w:val="single" w:color="000000" w:sz="4" w:space="0"/>
            </w:tcBorders>
            <w:tcMar>
              <w:left w:w="108" w:type="dxa"/>
              <w:right w:w="108" w:type="dxa"/>
            </w:tcMar>
            <w:tcW w:w="3118" w:type="dxa"/>
            <w:textDirection w:val="lrTb"/>
            <w:noWrap w:val="false"/>
          </w:tcPr>
          <w:p>
            <w:pPr>
              <w:ind w:firstLine="0"/>
              <w:rPr>
                <w:sz w:val="22"/>
                <w:szCs w:val="22"/>
                <w:highlight w:val="yellow"/>
              </w:rPr>
            </w:pPr>
            <w:r>
              <w:rPr>
                <w:sz w:val="22"/>
                <w:szCs w:val="22"/>
                <w:highlight w:val="white"/>
              </w:rPr>
              <w:t xml:space="preserve">АУ_БУ_007 Учредитель. Утверждение</w:t>
            </w:r>
            <w:r>
              <w:rPr>
                <w:rStyle w:val="1325"/>
                <w:sz w:val="22"/>
                <w:szCs w:val="22"/>
                <w:highlight w:val="yellow"/>
              </w:rPr>
              <w:footnoteReference w:customMarkFollows="1" w:id="20"/>
              <w:t xml:space="preserve">*</w:t>
            </w:r>
            <w:r>
              <w:rPr>
                <w:sz w:val="22"/>
                <w:szCs w:val="22"/>
                <w:highlight w:val="yellow"/>
              </w:rPr>
            </w:r>
            <w:r>
              <w:rPr>
                <w:sz w:val="22"/>
                <w:szCs w:val="22"/>
                <w:highlight w:val="yellow"/>
              </w:rPr>
            </w:r>
          </w:p>
          <w:p>
            <w:pPr>
              <w:ind w:left="57" w:right="57" w:hanging="57"/>
              <w:rPr>
                <w:sz w:val="22"/>
                <w:szCs w:val="22"/>
                <w:highlight w:val="white"/>
              </w:rPr>
            </w:pPr>
            <w:r>
              <w:rPr>
                <w:sz w:val="22"/>
                <w:szCs w:val="22"/>
                <w:highlight w:val="white"/>
              </w:rPr>
            </w:r>
            <w:r>
              <w:rPr>
                <w:sz w:val="22"/>
                <w:szCs w:val="22"/>
                <w:highlight w:val="white"/>
              </w:rPr>
            </w:r>
            <w:r>
              <w:rPr>
                <w:sz w:val="22"/>
                <w:szCs w:val="22"/>
                <w:highlight w:val="white"/>
              </w:rPr>
            </w:r>
          </w:p>
        </w:tc>
      </w:tr>
      <w:tr>
        <w:tblPrEx/>
        <w:trPr>
          <w:trHeight w:val="567"/>
        </w:trPr>
        <w:tc>
          <w:tcPr>
            <w:tcBorders>
              <w:bottom w:val="single" w:color="000000" w:sz="4" w:space="0"/>
            </w:tcBorders>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Borders>
              <w:bottom w:val="single" w:color="000000" w:sz="4" w:space="0"/>
            </w:tcBorders>
            <w:tcMar>
              <w:left w:w="108" w:type="dxa"/>
              <w:right w:w="108" w:type="dxa"/>
            </w:tcMar>
            <w:tcW w:w="4229" w:type="dxa"/>
            <w:textDirection w:val="lrTb"/>
            <w:noWrap w:val="false"/>
          </w:tcPr>
          <w:p>
            <w:pPr>
              <w:ind w:left="57" w:right="57" w:hanging="57"/>
              <w:rPr>
                <w:color w:val="000000"/>
                <w:sz w:val="22"/>
                <w:szCs w:val="22"/>
                <w:highlight w:val="white"/>
              </w:rPr>
            </w:pPr>
            <w:r>
              <w:rPr>
                <w:color w:val="000000"/>
                <w:sz w:val="22"/>
                <w:szCs w:val="22"/>
                <w:highlight w:val="white"/>
              </w:rPr>
              <w:t xml:space="preserve">Формирование запроса на получение регламентированных отчетных форм по лицевым счетам.</w:t>
            </w:r>
            <w:r>
              <w:rPr>
                <w:color w:val="000000"/>
                <w:sz w:val="22"/>
                <w:szCs w:val="22"/>
                <w:highlight w:val="white"/>
              </w:rPr>
            </w:r>
            <w:r>
              <w:rPr>
                <w:color w:val="000000"/>
                <w:sz w:val="22"/>
                <w:szCs w:val="22"/>
                <w:highlight w:val="white"/>
              </w:rPr>
            </w:r>
          </w:p>
          <w:p>
            <w:pPr>
              <w:ind w:left="57" w:right="57" w:hanging="57"/>
              <w:rPr>
                <w:color w:val="000000"/>
                <w:sz w:val="22"/>
                <w:szCs w:val="22"/>
                <w:highlight w:val="white"/>
              </w:rPr>
            </w:pPr>
            <w:r>
              <w:rPr>
                <w:sz w:val="22"/>
                <w:szCs w:val="22"/>
                <w:highlight w:val="white"/>
              </w:rPr>
              <w:t xml:space="preserve">Просмотр отчетов по своей подведомственной сети </w:t>
            </w:r>
            <w:r>
              <w:rPr>
                <w:color w:val="000000"/>
                <w:sz w:val="22"/>
                <w:szCs w:val="22"/>
                <w:highlight w:val="white"/>
              </w:rPr>
            </w:r>
            <w:r>
              <w:rPr>
                <w:color w:val="000000"/>
                <w:sz w:val="22"/>
                <w:szCs w:val="22"/>
                <w:highlight w:val="white"/>
              </w:rPr>
            </w:r>
          </w:p>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c>
          <w:tcPr>
            <w:shd w:val="clear" w:color="auto" w:fill="ffffff"/>
            <w:tcBorders>
              <w:bottom w:val="single" w:color="000000" w:sz="4" w:space="0"/>
            </w:tcBorders>
            <w:tcMar>
              <w:left w:w="108" w:type="dxa"/>
              <w:right w:w="108" w:type="dxa"/>
            </w:tcMar>
            <w:tcW w:w="1866" w:type="dxa"/>
            <w:textDirection w:val="lrTb"/>
            <w:noWrap w:val="false"/>
          </w:tcPr>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Ввод данных</w:t>
            </w:r>
            <w:r>
              <w:rPr>
                <w:sz w:val="22"/>
                <w:szCs w:val="22"/>
                <w:highlight w:val="white"/>
              </w:rPr>
            </w:r>
            <w:r>
              <w:rPr>
                <w:sz w:val="22"/>
                <w:szCs w:val="22"/>
                <w:highlight w:val="white"/>
              </w:rPr>
            </w:r>
          </w:p>
        </w:tc>
        <w:tc>
          <w:tcPr>
            <w:shd w:val="clear" w:color="auto" w:fill="auto"/>
            <w:tcBorders>
              <w:bottom w:val="single" w:color="000000" w:sz="4" w:space="0"/>
            </w:tcBorders>
            <w:tcMar>
              <w:left w:w="108" w:type="dxa"/>
              <w:right w:w="108" w:type="dxa"/>
            </w:tcMar>
            <w:tcW w:w="3118" w:type="dxa"/>
            <w:textDirection w:val="lrTb"/>
            <w:noWrap w:val="false"/>
          </w:tcPr>
          <w:p>
            <w:pPr>
              <w:ind w:firstLine="0"/>
              <w:rPr>
                <w:sz w:val="22"/>
                <w:szCs w:val="22"/>
                <w:highlight w:val="white"/>
              </w:rPr>
            </w:pPr>
            <w:r>
              <w:rPr>
                <w:sz w:val="22"/>
                <w:szCs w:val="22"/>
                <w:highlight w:val="white"/>
              </w:rPr>
              <w:t xml:space="preserve">АУ_БУ_035 Учредитель Работа с отчетами</w:t>
            </w:r>
            <w:r>
              <w:rPr>
                <w:sz w:val="22"/>
                <w:szCs w:val="22"/>
                <w:highlight w:val="white"/>
              </w:rPr>
            </w:r>
            <w:r>
              <w:rPr>
                <w:sz w:val="22"/>
                <w:szCs w:val="22"/>
                <w:highlight w:val="white"/>
              </w:rPr>
            </w:r>
          </w:p>
          <w:p>
            <w:pPr>
              <w:ind w:left="57" w:right="57" w:hanging="57"/>
              <w:rPr>
                <w:sz w:val="22"/>
                <w:szCs w:val="22"/>
                <w:highlight w:val="white"/>
              </w:rPr>
            </w:pPr>
            <w:r>
              <w:rPr>
                <w:sz w:val="22"/>
                <w:szCs w:val="22"/>
                <w:highlight w:val="white"/>
              </w:rPr>
            </w:r>
            <w:r>
              <w:rPr>
                <w:sz w:val="22"/>
                <w:szCs w:val="22"/>
                <w:highlight w:val="white"/>
              </w:rPr>
            </w:r>
            <w:r>
              <w:rPr>
                <w:sz w:val="22"/>
                <w:szCs w:val="22"/>
                <w:highlight w:val="white"/>
              </w:rPr>
            </w:r>
          </w:p>
        </w:tc>
      </w:tr>
      <w:tr>
        <w:tblPrEx/>
        <w:trPr>
          <w:trHeight w:val="947"/>
        </w:trPr>
        <w:tc>
          <w:tcPr>
            <w:gridSpan w:val="4"/>
            <w:tcMar>
              <w:left w:w="108" w:type="dxa"/>
              <w:right w:w="108" w:type="dxa"/>
            </w:tcMar>
            <w:tcW w:w="9747" w:type="dxa"/>
            <w:vAlign w:val="center"/>
            <w:textDirection w:val="lrTb"/>
            <w:noWrap w:val="false"/>
          </w:tcPr>
          <w:p>
            <w:pPr>
              <w:ind w:left="57" w:right="57"/>
              <w:jc w:val="center"/>
              <w:keepNext/>
              <w:spacing w:before="120" w:after="120"/>
              <w:rPr>
                <w:b/>
                <w:color w:val="000000"/>
                <w:highlight w:val="white"/>
              </w:rPr>
            </w:pPr>
            <w:r>
              <w:rPr>
                <w:b/>
                <w:color w:val="000000"/>
                <w:highlight w:val="white"/>
              </w:rPr>
              <w:t xml:space="preserve">Для территориальных органов федерального казначейства (далее – ТОФК)</w:t>
            </w:r>
            <w:r>
              <w:rPr>
                <w:b/>
                <w:color w:val="000000"/>
                <w:highlight w:val="white"/>
                <w:vertAlign w:val="superscript"/>
              </w:rPr>
              <w:footnoteReference w:id="21"/>
            </w:r>
            <w:r>
              <w:rPr>
                <w:b/>
                <w:color w:val="000000"/>
                <w:highlight w:val="white"/>
              </w:rPr>
            </w:r>
            <w:r>
              <w:rPr>
                <w:b/>
                <w:color w:val="000000"/>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W w:w="4229" w:type="dxa"/>
            <w:vAlign w:val="center"/>
            <w:vMerge w:val="restart"/>
            <w:textDirection w:val="lrTb"/>
            <w:noWrap w:val="false"/>
          </w:tcPr>
          <w:p>
            <w:pPr>
              <w:ind w:left="94"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платежных документов для осуществления операций со средствами автономных и бюджетных учреждений</w:t>
            </w:r>
            <w:r>
              <w:rPr>
                <w:color w:val="000000"/>
                <w:sz w:val="22"/>
                <w:szCs w:val="22"/>
                <w:highlight w:val="white"/>
              </w:rPr>
            </w:r>
            <w:r>
              <w:rPr>
                <w:color w:val="000000"/>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W w:w="1866" w:type="dxa"/>
            <w:vAlign w:val="center"/>
            <w:textDirection w:val="lrTb"/>
            <w:noWrap w:val="false"/>
          </w:tcPr>
          <w:p>
            <w:pPr>
              <w:ind w:left="182" w:right="57" w:hanging="56"/>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W w:w="3118" w:type="dxa"/>
            <w:vAlign w:val="center"/>
            <w:textDirection w:val="lrTb"/>
            <w:noWrap w:val="false"/>
          </w:tcPr>
          <w:p>
            <w:pPr>
              <w:ind w:left="138" w:right="57" w:hanging="56"/>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АУ_БУ_009 ТОФК. Ввод данных</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22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АУ_БУ_014 ТОФК. Просмотр данных</w:t>
            </w:r>
            <w:r>
              <w:rPr>
                <w:color w:val="000000"/>
                <w:sz w:val="22"/>
                <w:szCs w:val="22"/>
                <w:highlight w:val="white"/>
              </w:rPr>
            </w:r>
            <w:r>
              <w:rPr>
                <w:color w:val="000000"/>
                <w:sz w:val="22"/>
                <w:szCs w:val="22"/>
                <w:highlight w:val="white"/>
              </w:rPr>
            </w:r>
          </w:p>
        </w:tc>
      </w:tr>
      <w:tr>
        <w:tblPrEx/>
        <w:trPr>
          <w:trHeight w:val="567"/>
        </w:trPr>
        <w:tc>
          <w:tcPr>
            <w:tcBorders>
              <w:top w:val="single" w:color="000000" w:sz="4" w:space="0"/>
              <w:left w:val="single" w:color="000000" w:sz="4" w:space="0"/>
              <w:bottom w:val="single" w:color="000000" w:sz="4" w:space="0"/>
              <w:right w:val="single" w:color="000000" w:sz="4" w:space="0"/>
            </w:tcBorders>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422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АУ_БУ_010 ТОФК. Согласование данных </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2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для осуществления операций со средствами автономных и бюджетных учреждений</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6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АУ_БУ_011 ТОФК. Утверждение данных</w:t>
            </w:r>
            <w:r>
              <w:rPr>
                <w:color w:val="000000"/>
                <w:sz w:val="22"/>
                <w:szCs w:val="22"/>
                <w:highlight w:val="white"/>
              </w:rPr>
            </w:r>
            <w:r>
              <w:rPr>
                <w:color w:val="000000"/>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29" w:type="dxa"/>
            <w:textDirection w:val="lrTb"/>
            <w:noWrap w:val="false"/>
          </w:tcPr>
          <w:p>
            <w:pPr>
              <w:ind w:firstLine="0"/>
              <w:jc w:val="left"/>
              <w:rPr>
                <w:sz w:val="22"/>
                <w:szCs w:val="22"/>
                <w:highlight w:val="white"/>
              </w:rPr>
            </w:pPr>
            <w:r>
              <w:rPr>
                <w:sz w:val="22"/>
                <w:szCs w:val="22"/>
                <w:highlight w:val="white"/>
              </w:rPr>
              <w:t xml:space="preserve">Утверждение документов </w:t>
            </w:r>
            <w:r>
              <w:rPr>
                <w:color w:val="000000"/>
                <w:sz w:val="22"/>
                <w:szCs w:val="22"/>
                <w:highlight w:val="white"/>
              </w:rPr>
              <w:t xml:space="preserve">для осуществления операций со средствами автономных и бюджетных учреждений</w:t>
            </w:r>
            <w:r>
              <w:rPr>
                <w:sz w:val="22"/>
                <w:szCs w:val="22"/>
                <w:highlight w:val="white"/>
              </w:rPr>
              <w:t xml:space="preserve"> (Этап. Утверждение главным бухгалтером) </w:t>
            </w:r>
            <w:r>
              <w:rPr>
                <w:sz w:val="22"/>
                <w:szCs w:val="22"/>
                <w:highlight w:val="white"/>
              </w:rPr>
            </w:r>
            <w:r>
              <w:rPr>
                <w:sz w:val="22"/>
                <w:szCs w:val="22"/>
                <w:highlight w:val="white"/>
              </w:rPr>
            </w:r>
          </w:p>
        </w:tc>
        <w:tc>
          <w:tcPr>
            <w:shd w:val="clear" w:color="auto" w:fill="auto"/>
            <w:tcMar>
              <w:left w:w="108" w:type="dxa"/>
              <w:right w:w="108" w:type="dxa"/>
            </w:tcMar>
            <w:tcW w:w="1866"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sz w:val="22"/>
                <w:szCs w:val="22"/>
                <w:highlight w:val="white"/>
              </w:rPr>
            </w:r>
            <w:r>
              <w:rPr>
                <w:sz w:val="22"/>
                <w:szCs w:val="22"/>
                <w:highlight w:val="white"/>
              </w:rPr>
            </w:r>
          </w:p>
        </w:tc>
        <w:tc>
          <w:tcPr>
            <w:shd w:val="clear" w:color="auto" w:fill="auto"/>
            <w:tcMar>
              <w:left w:w="108" w:type="dxa"/>
              <w:right w:w="108" w:type="dxa"/>
            </w:tcMar>
            <w:tcW w:w="3118" w:type="dxa"/>
            <w:vAlign w:val="center"/>
            <w:textDirection w:val="lrTb"/>
            <w:noWrap w:val="false"/>
          </w:tcPr>
          <w:p>
            <w:pPr>
              <w:ind w:firstLine="0"/>
              <w:jc w:val="left"/>
              <w:rPr>
                <w:sz w:val="22"/>
                <w:szCs w:val="22"/>
                <w:highlight w:val="white"/>
              </w:rPr>
            </w:pPr>
            <w:r>
              <w:rPr>
                <w:sz w:val="22"/>
                <w:szCs w:val="22"/>
                <w:highlight w:val="white"/>
              </w:rPr>
              <w:t xml:space="preserve">АУ_БУ_012 ТОФК. Главный бухгалтер</w:t>
            </w:r>
            <w:r>
              <w:rPr>
                <w:sz w:val="22"/>
                <w:szCs w:val="22"/>
                <w:highlight w:val="white"/>
              </w:rPr>
            </w:r>
            <w:r>
              <w:rPr>
                <w:sz w:val="22"/>
                <w:szCs w:val="22"/>
                <w:highlight w:val="white"/>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29" w:type="dxa"/>
            <w:textDirection w:val="lrTb"/>
            <w:noWrap w:val="false"/>
          </w:tcPr>
          <w:p>
            <w:pPr>
              <w:ind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Ведение локальных справочников</w:t>
            </w:r>
            <w:r>
              <w:rPr>
                <w:sz w:val="22"/>
                <w:szCs w:val="22"/>
                <w:highlight w:val="white"/>
              </w:rPr>
            </w:r>
            <w:r>
              <w:rPr>
                <w:sz w:val="22"/>
                <w:szCs w:val="22"/>
                <w:highlight w:val="white"/>
              </w:rPr>
            </w:r>
          </w:p>
        </w:tc>
        <w:tc>
          <w:tcPr>
            <w:shd w:val="clear" w:color="auto" w:fill="auto"/>
            <w:tcMar>
              <w:left w:w="108" w:type="dxa"/>
              <w:right w:w="108" w:type="dxa"/>
            </w:tcMar>
            <w:tcW w:w="1866" w:type="dxa"/>
            <w:textDirection w:val="lrTb"/>
            <w:noWrap w:val="false"/>
          </w:tcPr>
          <w:p>
            <w:pPr>
              <w:ind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Ввод данных</w:t>
            </w:r>
            <w:r>
              <w:rPr>
                <w:sz w:val="22"/>
                <w:szCs w:val="22"/>
                <w:highlight w:val="white"/>
              </w:rPr>
            </w:r>
            <w:r>
              <w:rPr>
                <w:sz w:val="22"/>
                <w:szCs w:val="22"/>
                <w:highlight w:val="white"/>
              </w:rPr>
            </w:r>
          </w:p>
        </w:tc>
        <w:tc>
          <w:tcPr>
            <w:shd w:val="clear" w:color="auto" w:fill="auto"/>
            <w:tcMar>
              <w:left w:w="108" w:type="dxa"/>
              <w:right w:w="108" w:type="dxa"/>
            </w:tcMar>
            <w:tcW w:w="3118" w:type="dxa"/>
            <w:textDirection w:val="lrTb"/>
            <w:noWrap w:val="false"/>
          </w:tcPr>
          <w:p>
            <w:pPr>
              <w:ind w:firstLine="0"/>
              <w:jc w:val="left"/>
              <w:rPr>
                <w:sz w:val="22"/>
                <w:szCs w:val="22"/>
                <w:highlight w:val="white"/>
              </w:rPr>
            </w:pPr>
            <w:r>
              <w:rPr>
                <w:sz w:val="22"/>
                <w:szCs w:val="22"/>
                <w:highlight w:val="white"/>
              </w:rPr>
              <w:t xml:space="preserve">АУ_БУ_008 Работа со справочниками</w:t>
            </w:r>
            <w:r>
              <w:rPr>
                <w:sz w:val="22"/>
                <w:szCs w:val="22"/>
                <w:highlight w:val="white"/>
              </w:rPr>
            </w:r>
            <w:r>
              <w:rPr>
                <w:sz w:val="22"/>
                <w:szCs w:val="22"/>
                <w:highlight w:val="white"/>
              </w:rPr>
            </w:r>
          </w:p>
          <w:p>
            <w:pPr>
              <w:ind w:firstLine="0"/>
              <w:jc w:val="left"/>
              <w:rPr>
                <w:sz w:val="22"/>
                <w:szCs w:val="22"/>
                <w:highlight w:val="white"/>
              </w:rPr>
            </w:pPr>
            <w:r>
              <w:rPr>
                <w:sz w:val="22"/>
                <w:szCs w:val="22"/>
                <w:highlight w:val="white"/>
              </w:rPr>
            </w:r>
            <w:r>
              <w:rPr>
                <w:sz w:val="22"/>
                <w:szCs w:val="22"/>
                <w:highlight w:val="white"/>
              </w:rPr>
            </w:r>
            <w:r>
              <w:rPr>
                <w:sz w:val="22"/>
                <w:szCs w:val="22"/>
                <w:highlight w:val="white"/>
              </w:rPr>
            </w:r>
          </w:p>
        </w:tc>
      </w:tr>
      <w:tr>
        <w:tblPrEx/>
        <w:trPr>
          <w:trHeight w:val="567"/>
        </w:trPr>
        <w:tc>
          <w:tcPr>
            <w:tcMar>
              <w:left w:w="108" w:type="dxa"/>
              <w:right w:w="108" w:type="dxa"/>
            </w:tcMar>
            <w:tcW w:w="534" w:type="dxa"/>
            <w:vMerge w:val="restart"/>
            <w:textDirection w:val="lrTb"/>
            <w:noWrap w:val="false"/>
          </w:tcPr>
          <w:p>
            <w:pPr>
              <w:ind w:left="142"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29" w:type="dxa"/>
            <w:vAlign w:val="center"/>
            <w:vMerge w:val="restart"/>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и предоставление регламентированной отчетности по лицевым счетам</w:t>
            </w:r>
            <w:r>
              <w:rPr>
                <w:sz w:val="22"/>
                <w:szCs w:val="22"/>
                <w:highlight w:val="white"/>
              </w:rPr>
            </w:r>
            <w:r>
              <w:rPr>
                <w:sz w:val="22"/>
                <w:szCs w:val="22"/>
                <w:highlight w:val="white"/>
              </w:rPr>
            </w:r>
          </w:p>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c>
          <w:tcPr>
            <w:shd w:val="clear" w:color="auto" w:fill="auto"/>
            <w:tcMar>
              <w:left w:w="108" w:type="dxa"/>
              <w:right w:w="108" w:type="dxa"/>
            </w:tcMar>
            <w:tcW w:w="1866" w:type="dxa"/>
            <w:vAlign w:val="center"/>
            <w:textDirection w:val="lrTb"/>
            <w:noWrap w:val="false"/>
          </w:tcPr>
          <w:p>
            <w:pPr>
              <w:ind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sz w:val="22"/>
                <w:szCs w:val="22"/>
                <w:highlight w:val="white"/>
              </w:rPr>
            </w:r>
            <w:r>
              <w:rPr>
                <w:sz w:val="22"/>
                <w:szCs w:val="22"/>
                <w:highlight w:val="white"/>
              </w:rPr>
            </w:r>
          </w:p>
        </w:tc>
        <w:tc>
          <w:tcPr>
            <w:shd w:val="clear" w:color="auto" w:fill="auto"/>
            <w:tcMar>
              <w:left w:w="108" w:type="dxa"/>
              <w:right w:w="108" w:type="dxa"/>
            </w:tcMar>
            <w:tcW w:w="3118" w:type="dxa"/>
            <w:vAlign w:val="center"/>
            <w:textDirection w:val="lrTb"/>
            <w:noWrap w:val="false"/>
          </w:tcPr>
          <w:p>
            <w:pPr>
              <w:ind w:firstLine="0"/>
              <w:jc w:val="left"/>
              <w:rPr>
                <w:sz w:val="22"/>
                <w:szCs w:val="22"/>
                <w:highlight w:val="white"/>
              </w:rPr>
            </w:pPr>
            <w:r>
              <w:rPr>
                <w:sz w:val="22"/>
                <w:szCs w:val="22"/>
                <w:highlight w:val="white"/>
              </w:rPr>
              <w:t xml:space="preserve">АУ_БУ_014 ТОФК. Просмотр данных</w:t>
            </w:r>
            <w:r>
              <w:rPr>
                <w:sz w:val="22"/>
                <w:szCs w:val="22"/>
                <w:highlight w:val="white"/>
              </w:rPr>
            </w:r>
            <w:r>
              <w:rPr>
                <w:sz w:val="22"/>
                <w:szCs w:val="22"/>
                <w:highlight w:val="white"/>
              </w:rPr>
            </w:r>
          </w:p>
        </w:tc>
      </w:tr>
      <w:tr>
        <w:tblPrEx/>
        <w:trPr>
          <w:trHeight w:val="563"/>
        </w:trPr>
        <w:tc>
          <w:tcPr>
            <w:tcMar>
              <w:left w:w="108" w:type="dxa"/>
              <w:right w:w="108" w:type="dxa"/>
            </w:tcMar>
            <w:tcW w:w="534" w:type="dxa"/>
            <w:vMerge w:val="continue"/>
            <w:textDirection w:val="lrTb"/>
            <w:noWrap w:val="false"/>
          </w:tcPr>
          <w:p>
            <w:pPr>
              <w:numPr>
                <w:ilvl w:val="0"/>
                <w:numId w:val="1"/>
              </w:numPr>
              <w:ind w:left="57" w:firstLine="0"/>
              <w:jc w:val="left"/>
              <w:pBdr>
                <w:top w:val="none" w:color="000000" w:sz="4" w:space="0"/>
                <w:left w:val="none" w:color="000000" w:sz="4" w:space="0"/>
                <w:bottom w:val="none" w:color="000000" w:sz="4" w:space="0"/>
                <w:right w:val="none" w:color="000000" w:sz="4" w:space="0"/>
                <w:between w:val="none" w:color="000000" w:sz="4" w:space="0"/>
              </w:pBdr>
            </w:pPr>
            <w:r/>
            <w:r/>
          </w:p>
        </w:tc>
        <w:tc>
          <w:tcPr>
            <w:shd w:val="clear" w:color="auto" w:fill="auto"/>
            <w:tcMar>
              <w:left w:w="100" w:type="dxa"/>
              <w:top w:w="100" w:type="dxa"/>
              <w:right w:w="100" w:type="dxa"/>
              <w:bottom w:w="100" w:type="dxa"/>
            </w:tcMar>
            <w:tcW w:w="4229" w:type="dxa"/>
            <w:vAlign w:val="center"/>
            <w:vMerge w:val="continue"/>
            <w:textDirection w:val="lrTb"/>
            <w:noWrap w:val="false"/>
          </w:tcPr>
          <w:p>
            <w:pPr>
              <w:ind w:left="57" w:right="57" w:hanging="57"/>
              <w:jc w:val="left"/>
              <w:rPr>
                <w:sz w:val="22"/>
                <w:szCs w:val="22"/>
              </w:rPr>
              <w:pBdr>
                <w:top w:val="none" w:color="000000" w:sz="4" w:space="0"/>
                <w:left w:val="none" w:color="000000" w:sz="4" w:space="0"/>
                <w:bottom w:val="none" w:color="000000" w:sz="4" w:space="0"/>
                <w:right w:val="none" w:color="000000" w:sz="4" w:space="0"/>
                <w:between w:val="none" w:color="000000" w:sz="4" w:space="0"/>
              </w:pBdr>
            </w:pPr>
            <w:r>
              <w:rPr>
                <w:sz w:val="22"/>
                <w:szCs w:val="22"/>
              </w:rPr>
            </w:r>
            <w:r>
              <w:rPr>
                <w:sz w:val="22"/>
                <w:szCs w:val="22"/>
              </w:rPr>
            </w:r>
            <w:r>
              <w:rPr>
                <w:sz w:val="22"/>
                <w:szCs w:val="22"/>
              </w:rPr>
            </w:r>
          </w:p>
        </w:tc>
        <w:tc>
          <w:tcPr>
            <w:shd w:val="clear" w:color="auto" w:fill="auto"/>
            <w:tcMar>
              <w:left w:w="100" w:type="dxa"/>
              <w:top w:w="100" w:type="dxa"/>
              <w:right w:w="100" w:type="dxa"/>
              <w:bottom w:w="100" w:type="dxa"/>
            </w:tcMar>
            <w:tcW w:w="1866" w:type="dxa"/>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Ввод данных</w:t>
            </w:r>
            <w:r>
              <w:rPr>
                <w:sz w:val="22"/>
                <w:szCs w:val="22"/>
                <w:highlight w:val="white"/>
              </w:rPr>
            </w:r>
            <w:r>
              <w:rPr>
                <w:sz w:val="22"/>
                <w:szCs w:val="22"/>
                <w:highlight w:val="white"/>
              </w:rPr>
            </w:r>
          </w:p>
        </w:tc>
        <w:tc>
          <w:tcPr>
            <w:shd w:val="clear" w:color="auto" w:fill="auto"/>
            <w:tcMar>
              <w:left w:w="100" w:type="dxa"/>
              <w:top w:w="100" w:type="dxa"/>
              <w:right w:w="100" w:type="dxa"/>
              <w:bottom w:w="100" w:type="dxa"/>
            </w:tcMar>
            <w:tcW w:w="3118" w:type="dxa"/>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АУ_БУ_032 ТОФК. Формирование отчетов</w:t>
            </w:r>
            <w:r>
              <w:rPr>
                <w:sz w:val="22"/>
                <w:szCs w:val="22"/>
                <w:highlight w:val="white"/>
              </w:rPr>
            </w:r>
            <w:r>
              <w:rPr>
                <w:sz w:val="22"/>
                <w:szCs w:val="22"/>
                <w:highlight w:val="white"/>
              </w:rPr>
            </w:r>
          </w:p>
        </w:tc>
      </w:tr>
      <w:tr>
        <w:tblPrEx/>
        <w:trPr>
          <w:trHeight w:val="567"/>
        </w:trPr>
        <w:tc>
          <w:tcPr>
            <w:tcMar>
              <w:left w:w="108" w:type="dxa"/>
              <w:right w:w="108" w:type="dxa"/>
            </w:tcMar>
            <w:tcW w:w="534" w:type="dxa"/>
            <w:vMerge w:val="continue"/>
            <w:textDirection w:val="lrTb"/>
            <w:noWrap w:val="false"/>
          </w:tcPr>
          <w:p>
            <w:pPr>
              <w:numPr>
                <w:ilvl w:val="0"/>
                <w:numId w:val="1"/>
              </w:numPr>
              <w:ind w:left="57" w:firstLine="0"/>
              <w:jc w:val="left"/>
              <w:pBdr>
                <w:top w:val="none" w:color="000000" w:sz="4" w:space="0"/>
                <w:left w:val="none" w:color="000000" w:sz="4" w:space="0"/>
                <w:bottom w:val="none" w:color="000000" w:sz="4" w:space="0"/>
                <w:right w:val="none" w:color="000000" w:sz="4" w:space="0"/>
                <w:between w:val="none" w:color="000000" w:sz="4" w:space="0"/>
              </w:pBdr>
            </w:pPr>
            <w:r/>
            <w:r/>
          </w:p>
        </w:tc>
        <w:tc>
          <w:tcPr>
            <w:shd w:val="clear" w:color="auto" w:fill="auto"/>
            <w:tcMar>
              <w:left w:w="108" w:type="dxa"/>
              <w:right w:w="108" w:type="dxa"/>
            </w:tcMar>
            <w:tcW w:w="4229" w:type="dxa"/>
            <w:vAlign w:val="center"/>
            <w:vMerge w:val="continue"/>
            <w:textDirection w:val="lrTb"/>
            <w:noWrap w:val="false"/>
          </w:tcPr>
          <w:p>
            <w:pPr>
              <w:ind w:left="57" w:right="57" w:hanging="57"/>
              <w:jc w:val="left"/>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66" w:type="dxa"/>
            <w:textDirection w:val="lrTb"/>
            <w:noWrap w:val="false"/>
          </w:tcPr>
          <w:p>
            <w:pPr>
              <w:ind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sz w:val="22"/>
                <w:szCs w:val="22"/>
                <w:highlight w:val="white"/>
              </w:rPr>
            </w:r>
            <w:r>
              <w:rPr>
                <w:sz w:val="22"/>
                <w:szCs w:val="22"/>
                <w:highlight w:val="white"/>
              </w:rPr>
            </w:r>
          </w:p>
        </w:tc>
        <w:tc>
          <w:tcPr>
            <w:shd w:val="clear" w:color="auto" w:fill="auto"/>
            <w:tcMar>
              <w:left w:w="108" w:type="dxa"/>
              <w:right w:w="108" w:type="dxa"/>
            </w:tcMar>
            <w:tcW w:w="3118" w:type="dxa"/>
            <w:textDirection w:val="lrTb"/>
            <w:noWrap w:val="false"/>
          </w:tcPr>
          <w:p>
            <w:pPr>
              <w:ind w:firstLine="0"/>
              <w:rPr>
                <w:sz w:val="22"/>
                <w:szCs w:val="22"/>
                <w:highlight w:val="white"/>
              </w:rPr>
            </w:pPr>
            <w:r>
              <w:rPr>
                <w:sz w:val="22"/>
                <w:szCs w:val="22"/>
                <w:highlight w:val="white"/>
              </w:rPr>
              <w:t xml:space="preserve">АУ_БУ_033 ТОФК. Подписание отчетов</w:t>
            </w:r>
            <w:r>
              <w:rPr>
                <w:sz w:val="22"/>
                <w:szCs w:val="22"/>
                <w:highlight w:val="white"/>
              </w:rPr>
            </w:r>
            <w:r>
              <w:rPr>
                <w:sz w:val="22"/>
                <w:szCs w:val="22"/>
                <w:highlight w:val="white"/>
              </w:rPr>
            </w:r>
          </w:p>
        </w:tc>
      </w:tr>
      <w:tr>
        <w:tblPrEx/>
        <w:trPr>
          <w:trHeight w:val="567"/>
        </w:trPr>
        <w:tc>
          <w:tcPr>
            <w:tcMar>
              <w:left w:w="108" w:type="dxa"/>
              <w:right w:w="108" w:type="dxa"/>
            </w:tcMar>
            <w:tcW w:w="534" w:type="dxa"/>
            <w:vMerge w:val="continue"/>
            <w:textDirection w:val="lrTb"/>
            <w:noWrap w:val="false"/>
          </w:tcPr>
          <w:p>
            <w:pPr>
              <w:numPr>
                <w:ilvl w:val="0"/>
                <w:numId w:val="1"/>
              </w:numPr>
              <w:ind w:left="57" w:firstLine="0"/>
              <w:jc w:val="left"/>
              <w:pBdr>
                <w:top w:val="none" w:color="000000" w:sz="4" w:space="0"/>
                <w:left w:val="none" w:color="000000" w:sz="4" w:space="0"/>
                <w:bottom w:val="none" w:color="000000" w:sz="4" w:space="0"/>
                <w:right w:val="none" w:color="000000" w:sz="4" w:space="0"/>
                <w:between w:val="none" w:color="000000" w:sz="4" w:space="0"/>
              </w:pBdr>
            </w:pPr>
            <w:r/>
            <w:r/>
          </w:p>
        </w:tc>
        <w:tc>
          <w:tcPr>
            <w:shd w:val="clear" w:color="auto" w:fill="auto"/>
            <w:tcMar>
              <w:left w:w="108" w:type="dxa"/>
              <w:right w:w="108" w:type="dxa"/>
            </w:tcMar>
            <w:tcW w:w="4229" w:type="dxa"/>
            <w:vAlign w:val="center"/>
            <w:vMerge w:val="continue"/>
            <w:textDirection w:val="lrTb"/>
            <w:noWrap w:val="false"/>
          </w:tcPr>
          <w:p>
            <w:pPr>
              <w:ind w:left="57" w:right="57" w:hanging="57"/>
              <w:jc w:val="left"/>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bottom w:val="single" w:color="000000" w:sz="4" w:space="0"/>
            </w:tcBorders>
            <w:tcMar>
              <w:left w:w="108" w:type="dxa"/>
              <w:right w:w="108" w:type="dxa"/>
            </w:tcMar>
            <w:tcW w:w="1866" w:type="dxa"/>
            <w:textDirection w:val="lrTb"/>
            <w:noWrap w:val="false"/>
          </w:tcPr>
          <w:p>
            <w:pPr>
              <w:ind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sz w:val="22"/>
                <w:szCs w:val="22"/>
                <w:highlight w:val="white"/>
              </w:rPr>
            </w:r>
            <w:r>
              <w:rPr>
                <w:sz w:val="22"/>
                <w:szCs w:val="22"/>
                <w:highlight w:val="white"/>
              </w:rPr>
            </w:r>
          </w:p>
        </w:tc>
        <w:tc>
          <w:tcPr>
            <w:shd w:val="clear" w:color="auto" w:fill="auto"/>
            <w:tcBorders>
              <w:bottom w:val="single" w:color="000000" w:sz="4" w:space="0"/>
            </w:tcBorders>
            <w:tcMar>
              <w:left w:w="108" w:type="dxa"/>
              <w:right w:w="108" w:type="dxa"/>
            </w:tcMar>
            <w:tcW w:w="3118" w:type="dxa"/>
            <w:textDirection w:val="lrTb"/>
            <w:noWrap w:val="false"/>
          </w:tcPr>
          <w:p>
            <w:pPr>
              <w:ind w:firstLine="0"/>
              <w:rPr>
                <w:sz w:val="22"/>
                <w:szCs w:val="22"/>
                <w:highlight w:val="white"/>
              </w:rPr>
            </w:pPr>
            <w:r>
              <w:rPr>
                <w:sz w:val="22"/>
                <w:szCs w:val="22"/>
                <w:highlight w:val="white"/>
              </w:rPr>
              <w:t xml:space="preserve">АУ_БУ_034 ТОФК. Утверждение отчетов</w:t>
            </w:r>
            <w:r>
              <w:rPr>
                <w:sz w:val="22"/>
                <w:szCs w:val="22"/>
                <w:highlight w:val="white"/>
              </w:rPr>
            </w:r>
            <w:r>
              <w:rPr>
                <w:sz w:val="22"/>
                <w:szCs w:val="22"/>
                <w:highlight w:val="white"/>
              </w:rPr>
            </w:r>
          </w:p>
        </w:tc>
      </w:tr>
      <w:tr>
        <w:tblPrEx/>
        <w:trPr>
          <w:trHeight w:val="567"/>
        </w:trPr>
        <w:tc>
          <w:tcPr>
            <w:gridSpan w:val="4"/>
            <w:tcMar>
              <w:left w:w="108" w:type="dxa"/>
              <w:right w:w="108" w:type="dxa"/>
            </w:tcMar>
            <w:tcW w:w="9747" w:type="dxa"/>
            <w:textDirection w:val="lrTb"/>
            <w:noWrap w:val="false"/>
          </w:tcPr>
          <w:p>
            <w:pPr>
              <w:ind w:left="57" w:right="57"/>
              <w:jc w:val="center"/>
              <w:keepNext/>
              <w:spacing w:before="120" w:after="120"/>
              <w:rPr>
                <w:color w:val="000000"/>
                <w:sz w:val="22"/>
                <w:szCs w:val="22"/>
                <w:highlight w:val="white"/>
                <w:vertAlign w:val="superscript"/>
              </w:rPr>
              <w:pBdr>
                <w:top w:val="none" w:color="000000" w:sz="4" w:space="0"/>
                <w:left w:val="none" w:color="000000" w:sz="4" w:space="0"/>
                <w:bottom w:val="none" w:color="000000" w:sz="4" w:space="0"/>
                <w:right w:val="none" w:color="000000" w:sz="4" w:space="0"/>
                <w:between w:val="none" w:color="000000" w:sz="4" w:space="0"/>
              </w:pBdr>
            </w:pPr>
            <w:r>
              <w:rPr>
                <w:b/>
                <w:color w:val="000000"/>
                <w:highlight w:val="white"/>
              </w:rPr>
              <w:t xml:space="preserve">С</w:t>
            </w:r>
            <w:r>
              <w:rPr>
                <w:b/>
                <w:highlight w:val="white"/>
              </w:rPr>
              <w:t xml:space="preserve">пециальные полномочия </w:t>
            </w:r>
            <w:r>
              <w:rPr>
                <w:b/>
                <w:color w:val="000000"/>
                <w:highlight w:val="white"/>
              </w:rPr>
              <w:t xml:space="preserve">подсистемы управления расходами оператора государственной интегрированной информационной системы управления общественными финансами «Электронный бюджет»</w:t>
            </w:r>
            <w:r>
              <w:rPr>
                <w:b/>
                <w:color w:val="000000"/>
                <w:highlight w:val="white"/>
                <w:vertAlign w:val="superscript"/>
              </w:rPr>
              <w:t xml:space="preserve">7</w:t>
            </w:r>
            <w:r>
              <w:rPr>
                <w:color w:val="000000"/>
                <w:sz w:val="22"/>
                <w:szCs w:val="22"/>
                <w:highlight w:val="white"/>
                <w:vertAlign w:val="superscript"/>
              </w:rPr>
            </w:r>
            <w:r>
              <w:rPr>
                <w:color w:val="000000"/>
                <w:sz w:val="22"/>
                <w:szCs w:val="22"/>
                <w:highlight w:val="white"/>
                <w:vertAlign w:val="superscript"/>
              </w:rPr>
            </w:r>
          </w:p>
        </w:tc>
      </w:tr>
      <w:tr>
        <w:tblPrEx/>
        <w:trPr>
          <w:trHeight w:val="567"/>
        </w:trPr>
        <w:tc>
          <w:tcPr>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tcMar>
              <w:left w:w="108" w:type="dxa"/>
              <w:right w:w="108" w:type="dxa"/>
            </w:tcMar>
            <w:tcW w:w="4229" w:type="dxa"/>
            <w:vAlign w:val="center"/>
            <w:textDirection w:val="lrTb"/>
            <w:noWrap w:val="false"/>
          </w:tcPr>
          <w:p>
            <w:pPr>
              <w:ind w:firstLine="0"/>
              <w:jc w:val="left"/>
              <w:rPr>
                <w:sz w:val="22"/>
                <w:szCs w:val="22"/>
                <w:highlight w:val="white"/>
              </w:rPr>
            </w:pPr>
            <w:r>
              <w:rPr>
                <w:sz w:val="22"/>
                <w:szCs w:val="22"/>
                <w:highlight w:val="white"/>
              </w:rPr>
              <w:t xml:space="preserve">Просмотр данных по всем ТОФК</w:t>
            </w:r>
            <w:r>
              <w:rPr>
                <w:sz w:val="22"/>
                <w:szCs w:val="22"/>
                <w:highlight w:val="white"/>
              </w:rPr>
            </w:r>
            <w:r>
              <w:rPr>
                <w:sz w:val="22"/>
                <w:szCs w:val="22"/>
                <w:highlight w:val="white"/>
              </w:rPr>
            </w:r>
          </w:p>
          <w:p>
            <w:pPr>
              <w:ind w:firstLine="0"/>
              <w:jc w:val="left"/>
              <w:rPr>
                <w:sz w:val="22"/>
                <w:szCs w:val="22"/>
                <w:highlight w:val="white"/>
              </w:rPr>
            </w:pPr>
            <w:r>
              <w:rPr>
                <w:sz w:val="22"/>
                <w:szCs w:val="22"/>
                <w:highlight w:val="white"/>
              </w:rPr>
            </w:r>
            <w:r>
              <w:rPr>
                <w:sz w:val="22"/>
                <w:szCs w:val="22"/>
                <w:highlight w:val="white"/>
              </w:rPr>
            </w:r>
            <w:r>
              <w:rPr>
                <w:sz w:val="22"/>
                <w:szCs w:val="22"/>
                <w:highlight w:val="white"/>
              </w:rPr>
            </w:r>
          </w:p>
        </w:tc>
        <w:tc>
          <w:tcPr>
            <w:tcMar>
              <w:left w:w="108" w:type="dxa"/>
              <w:right w:w="108" w:type="dxa"/>
            </w:tcMar>
            <w:tcW w:w="1866" w:type="dxa"/>
            <w:vAlign w:val="center"/>
            <w:textDirection w:val="lrTb"/>
            <w:noWrap w:val="false"/>
          </w:tcPr>
          <w:p>
            <w:pPr>
              <w:ind w:left="57" w:right="57"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Просмотр</w:t>
            </w:r>
            <w:r>
              <w:rPr>
                <w:sz w:val="22"/>
                <w:szCs w:val="22"/>
                <w:highlight w:val="white"/>
              </w:rPr>
            </w:r>
            <w:r>
              <w:rPr>
                <w:sz w:val="22"/>
                <w:szCs w:val="22"/>
                <w:highlight w:val="white"/>
              </w:rPr>
            </w:r>
          </w:p>
        </w:tc>
        <w:tc>
          <w:tcPr>
            <w:tcMar>
              <w:left w:w="108" w:type="dxa"/>
              <w:right w:w="108" w:type="dxa"/>
            </w:tcMar>
            <w:tcW w:w="3118" w:type="dxa"/>
            <w:vAlign w:val="center"/>
            <w:textDirection w:val="lrTb"/>
            <w:noWrap w:val="false"/>
          </w:tcPr>
          <w:p>
            <w:pPr>
              <w:ind w:firstLine="0"/>
              <w:jc w:val="left"/>
              <w:rPr>
                <w:sz w:val="22"/>
                <w:szCs w:val="22"/>
                <w:highlight w:val="white"/>
              </w:rPr>
            </w:pPr>
            <w:r>
              <w:rPr>
                <w:sz w:val="22"/>
                <w:szCs w:val="22"/>
                <w:highlight w:val="white"/>
              </w:rPr>
              <w:t xml:space="preserve">АУ_БУ_015 ТОФК. Просмотр всех ТОФК</w:t>
            </w:r>
            <w:r>
              <w:rPr>
                <w:sz w:val="22"/>
                <w:szCs w:val="22"/>
                <w:highlight w:val="white"/>
              </w:rPr>
            </w:r>
            <w:r>
              <w:rPr>
                <w:sz w:val="22"/>
                <w:szCs w:val="22"/>
                <w:highlight w:val="white"/>
              </w:rPr>
            </w:r>
          </w:p>
          <w:p>
            <w:pPr>
              <w:ind w:firstLine="0"/>
              <w:jc w:val="left"/>
              <w:rPr>
                <w:sz w:val="22"/>
                <w:szCs w:val="22"/>
                <w:highlight w:val="white"/>
              </w:rPr>
            </w:pPr>
            <w:r>
              <w:rPr>
                <w:sz w:val="22"/>
                <w:szCs w:val="22"/>
                <w:highlight w:val="white"/>
              </w:rPr>
            </w:r>
            <w:r>
              <w:rPr>
                <w:sz w:val="22"/>
                <w:szCs w:val="22"/>
                <w:highlight w:val="white"/>
              </w:rPr>
            </w:r>
            <w:r>
              <w:rPr>
                <w:sz w:val="22"/>
                <w:szCs w:val="22"/>
                <w:highlight w:val="white"/>
              </w:rPr>
            </w:r>
          </w:p>
        </w:tc>
      </w:tr>
    </w:tbl>
    <w:p>
      <w:pPr>
        <w:shd w:val="clear" w:color="auto" w:fill="ffffff"/>
        <w:rPr>
          <w:color w:val="000000"/>
          <w:highlight w:val="white"/>
        </w:rPr>
      </w:pPr>
      <w:r>
        <w:rPr>
          <w:color w:val="000000"/>
          <w:highlight w:val="white"/>
        </w:rPr>
      </w:r>
      <w:r>
        <w:rPr>
          <w:color w:val="000000"/>
          <w:highlight w:val="white"/>
        </w:rPr>
      </w:r>
      <w:r>
        <w:rPr>
          <w:color w:val="000000"/>
          <w:highlight w:val="white"/>
        </w:rPr>
      </w:r>
    </w:p>
    <w:p>
      <w:pPr>
        <w:shd w:val="clear" w:color="auto" w:fill="ffffff"/>
        <w:rPr>
          <w:color w:val="000000"/>
          <w:sz w:val="24"/>
          <w:szCs w:val="24"/>
          <w:highlight w:val="white"/>
        </w:rPr>
      </w:pPr>
      <w:r>
        <w:rPr>
          <w:color w:val="000000"/>
          <w:sz w:val="24"/>
          <w:szCs w:val="24"/>
          <w:highlight w:val="white"/>
        </w:rPr>
        <w:t xml:space="preserve">Информация о соответствии полномочий, указанных в заявке на подключение пользователей перечню ролей доступа, настроенных для работ по учёту исполнения судебных актов и решений налоговых органов о взыскании налога, сбора, страхового взноса, пеней и штрафов,</w:t>
      </w:r>
      <w:r>
        <w:rPr>
          <w:color w:val="000000"/>
          <w:sz w:val="24"/>
          <w:szCs w:val="24"/>
          <w:highlight w:val="white"/>
        </w:rPr>
        <w:t xml:space="preserve"> предусматривающих обращение взыскания на средства бюджетов бюджетной системы Российской Федерации, в подсистеме управления расходами государственной интегрированной информационной системы управления общественными финансами «Электронный бюджет»</w:t>
      </w:r>
      <w:r>
        <w:rPr>
          <w:color w:val="000000"/>
          <w:sz w:val="24"/>
          <w:szCs w:val="24"/>
          <w:highlight w:val="white"/>
        </w:rPr>
      </w:r>
      <w:r>
        <w:rPr>
          <w:color w:val="000000"/>
          <w:sz w:val="24"/>
          <w:szCs w:val="24"/>
          <w:highlight w:val="white"/>
        </w:rPr>
      </w:r>
    </w:p>
    <w:p>
      <w:pPr>
        <w:shd w:val="clear" w:color="auto" w:fill="ffffff"/>
        <w:rPr>
          <w:color w:val="000000"/>
          <w:sz w:val="24"/>
          <w:szCs w:val="24"/>
          <w:highlight w:val="white"/>
        </w:rPr>
      </w:pPr>
      <w:r>
        <w:rPr>
          <w:color w:val="000000"/>
          <w:sz w:val="24"/>
          <w:szCs w:val="24"/>
          <w:highlight w:val="white"/>
        </w:rPr>
      </w:r>
      <w:r>
        <w:rPr>
          <w:color w:val="000000"/>
          <w:sz w:val="24"/>
          <w:szCs w:val="24"/>
          <w:highlight w:val="white"/>
        </w:rPr>
      </w:r>
      <w:r>
        <w:rPr>
          <w:color w:val="000000"/>
          <w:sz w:val="24"/>
          <w:szCs w:val="24"/>
          <w:highlight w:val="white"/>
        </w:rPr>
      </w:r>
    </w:p>
    <w:tbl>
      <w:tblPr>
        <w:tblStyle w:val="1470"/>
        <w:tblW w:w="9747" w:type="dxa"/>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34"/>
        <w:gridCol w:w="4239"/>
        <w:gridCol w:w="1856"/>
        <w:gridCol w:w="3118"/>
      </w:tblGrid>
      <w:tr>
        <w:tblPrEx/>
        <w:trPr>
          <w:trHeight w:val="947"/>
          <w:tblHeader/>
        </w:trPr>
        <w:tc>
          <w:tcPr>
            <w:shd w:val="clear" w:color="auto" w:fill="auto"/>
            <w:tcW w:w="534"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 п/п</w:t>
            </w:r>
            <w:r>
              <w:rPr>
                <w:b/>
                <w:color w:val="000000"/>
                <w:sz w:val="22"/>
                <w:szCs w:val="22"/>
                <w:highlight w:val="white"/>
              </w:rPr>
            </w:r>
            <w:r>
              <w:rPr>
                <w:b/>
                <w:color w:val="000000"/>
                <w:sz w:val="22"/>
                <w:szCs w:val="22"/>
                <w:highlight w:val="white"/>
              </w:rPr>
            </w:r>
          </w:p>
        </w:tc>
        <w:tc>
          <w:tcPr>
            <w:gridSpan w:val="2"/>
            <w:shd w:val="clear" w:color="auto" w:fill="auto"/>
            <w:tcMar>
              <w:left w:w="30" w:type="dxa"/>
              <w:top w:w="0" w:type="dxa"/>
              <w:right w:w="30" w:type="dxa"/>
              <w:bottom w:w="0" w:type="dxa"/>
            </w:tcMar>
            <w:tcW w:w="6095"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Полн</w:t>
            </w:r>
            <w:r>
              <w:rPr>
                <w:b/>
                <w:color w:val="000000"/>
                <w:sz w:val="22"/>
                <w:szCs w:val="22"/>
                <w:highlight w:val="white"/>
              </w:rPr>
              <w:t xml:space="preserve">омочие</w:t>
            </w:r>
            <w:r>
              <w:rPr>
                <w:b/>
                <w:color w:val="000000"/>
                <w:sz w:val="22"/>
                <w:szCs w:val="22"/>
                <w:highlight w:val="white"/>
              </w:rPr>
            </w:r>
            <w:r>
              <w:rPr>
                <w:b/>
                <w:color w:val="000000"/>
                <w:sz w:val="22"/>
                <w:szCs w:val="22"/>
                <w:highlight w:val="white"/>
              </w:rPr>
            </w:r>
          </w:p>
        </w:tc>
        <w:tc>
          <w:tcPr>
            <w:shd w:val="clear" w:color="auto" w:fill="auto"/>
            <w:tcW w:w="3118" w:type="dxa"/>
            <w:vAlign w:val="center"/>
            <w:textDirection w:val="lrTb"/>
            <w:noWrap w:val="false"/>
          </w:tcPr>
          <w:p>
            <w:pPr>
              <w:ind w:firstLine="0"/>
              <w:jc w:val="center"/>
              <w:keepNext/>
              <w:rPr>
                <w:b/>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b/>
                <w:color w:val="000000"/>
                <w:sz w:val="22"/>
                <w:szCs w:val="22"/>
                <w:highlight w:val="white"/>
              </w:rPr>
              <w:t xml:space="preserve">Код роли доступа в системе «Электронный бюджет»</w:t>
            </w:r>
            <w:r>
              <w:rPr>
                <w:b/>
                <w:color w:val="000000"/>
                <w:sz w:val="22"/>
                <w:szCs w:val="22"/>
                <w:highlight w:val="white"/>
              </w:rPr>
            </w:r>
            <w:r>
              <w:rPr>
                <w:b/>
                <w:color w:val="000000"/>
                <w:sz w:val="22"/>
                <w:szCs w:val="22"/>
                <w:highlight w:val="white"/>
              </w:rPr>
            </w:r>
          </w:p>
        </w:tc>
      </w:tr>
      <w:tr>
        <w:tblPrEx/>
        <w:trPr>
          <w:trHeight w:val="200"/>
        </w:trPr>
        <w:tc>
          <w:tcPr>
            <w:gridSpan w:val="4"/>
            <w:shd w:val="clear" w:color="auto" w:fill="auto"/>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Для получателей бюджетных средств федерального бюджета (далее – ПБС), для федеральных бюджетных учреждений и федеральных автономных учреждений </w:t>
            </w:r>
            <w:r>
              <w:rPr>
                <w:b/>
                <w:color w:val="000000"/>
                <w:highlight w:val="white"/>
              </w:rPr>
            </w:r>
            <w:r>
              <w:rPr>
                <w:b/>
                <w:color w:val="000000"/>
                <w:highlight w:val="white"/>
              </w:rPr>
            </w:r>
          </w:p>
        </w:tc>
      </w:tr>
      <w:tr>
        <w:tblPrEx/>
        <w:trPr>
          <w:trHeight w:val="567"/>
        </w:trPr>
        <w:tc>
          <w:tcPr>
            <w:shd w:val="clear" w:color="auto" w:fill="auto"/>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30" w:type="dxa"/>
              <w:top w:w="0" w:type="dxa"/>
              <w:right w:w="30" w:type="dxa"/>
              <w:bottom w:w="0"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r>
              <w:rPr>
                <w:rStyle w:val="1325"/>
                <w:color w:val="000000"/>
                <w:sz w:val="22"/>
                <w:szCs w:val="22"/>
                <w:highlight w:val="white"/>
              </w:rPr>
              <w:footnoteReference w:id="22"/>
            </w:r>
            <w:r>
              <w:rPr>
                <w:color w:val="000000"/>
                <w:sz w:val="22"/>
                <w:szCs w:val="22"/>
                <w:highlight w:val="white"/>
              </w:rPr>
            </w:r>
            <w:r>
              <w:rPr>
                <w:color w:val="000000"/>
                <w:sz w:val="22"/>
                <w:szCs w:val="22"/>
                <w:highlight w:val="white"/>
              </w:rPr>
            </w:r>
          </w:p>
        </w:tc>
        <w:tc>
          <w:tcPr>
            <w:shd w:val="clear" w:color="auto" w:fill="auto"/>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БО.001 </w:t>
            </w:r>
            <w:r>
              <w:rPr>
                <w:color w:val="000000"/>
                <w:sz w:val="22"/>
                <w:szCs w:val="22"/>
                <w:highlight w:val="white"/>
              </w:rPr>
              <w:t xml:space="preserve">Клиент.Ввод</w:t>
            </w:r>
            <w:r>
              <w:rPr>
                <w:color w:val="000000"/>
                <w:sz w:val="22"/>
                <w:szCs w:val="22"/>
                <w:highlight w:val="white"/>
              </w:rPr>
              <w:t xml:space="preserve"> данных СБО (П</w:t>
            </w:r>
            <w:r>
              <w:rPr>
                <w:color w:val="000000"/>
                <w:sz w:val="22"/>
                <w:szCs w:val="22"/>
                <w:highlight w:val="white"/>
              </w:rPr>
              <w:t xml:space="preserve">БС)</w:t>
            </w:r>
            <w:r>
              <w:rPr>
                <w:color w:val="000000"/>
                <w:sz w:val="22"/>
                <w:szCs w:val="22"/>
                <w:highlight w:val="white"/>
              </w:rPr>
            </w:r>
            <w:r>
              <w:rPr>
                <w:color w:val="000000"/>
                <w:sz w:val="22"/>
                <w:szCs w:val="22"/>
                <w:highlight w:val="white"/>
              </w:rPr>
            </w:r>
          </w:p>
        </w:tc>
      </w:tr>
      <w:tr>
        <w:tblPrEx/>
        <w:trPr>
          <w:trHeight w:val="567"/>
        </w:trPr>
        <w:tc>
          <w:tcPr>
            <w:shd w:val="clear" w:color="auto" w:fill="auto"/>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БО.004 </w:t>
            </w:r>
            <w:r>
              <w:rPr>
                <w:color w:val="000000"/>
                <w:sz w:val="22"/>
                <w:szCs w:val="22"/>
                <w:highlight w:val="white"/>
              </w:rPr>
              <w:t xml:space="preserve">Клиент.Просмотр</w:t>
            </w:r>
            <w:r>
              <w:rPr>
                <w:color w:val="000000"/>
                <w:sz w:val="22"/>
                <w:szCs w:val="22"/>
                <w:highlight w:val="white"/>
              </w:rPr>
              <w:t xml:space="preserve"> СБО (ПБС)</w:t>
            </w:r>
            <w:r>
              <w:rPr>
                <w:color w:val="000000"/>
                <w:sz w:val="22"/>
                <w:szCs w:val="22"/>
                <w:highlight w:val="white"/>
              </w:rPr>
            </w:r>
            <w:r>
              <w:rPr>
                <w:color w:val="000000"/>
                <w:sz w:val="22"/>
                <w:szCs w:val="22"/>
                <w:highlight w:val="white"/>
              </w:rPr>
            </w:r>
          </w:p>
        </w:tc>
      </w:tr>
      <w:tr>
        <w:tblPrEx/>
        <w:trPr>
          <w:trHeight w:val="567"/>
        </w:trPr>
        <w:tc>
          <w:tcPr>
            <w:shd w:val="clear" w:color="auto" w:fill="auto"/>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30" w:type="dxa"/>
              <w:top w:w="0" w:type="dxa"/>
              <w:right w:w="30" w:type="dxa"/>
              <w:bottom w:w="0"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БО.002 </w:t>
            </w:r>
            <w:r>
              <w:rPr>
                <w:color w:val="000000"/>
                <w:sz w:val="22"/>
                <w:szCs w:val="22"/>
                <w:highlight w:val="white"/>
              </w:rPr>
              <w:t xml:space="preserve">Клиент.Согласование</w:t>
            </w:r>
            <w:r>
              <w:rPr>
                <w:color w:val="000000"/>
                <w:sz w:val="22"/>
                <w:szCs w:val="22"/>
                <w:highlight w:val="white"/>
              </w:rPr>
              <w:t xml:space="preserve"> данных СБО (ПБС)</w:t>
            </w:r>
            <w:r>
              <w:rPr>
                <w:color w:val="000000"/>
                <w:sz w:val="22"/>
                <w:szCs w:val="22"/>
                <w:highlight w:val="white"/>
              </w:rPr>
            </w:r>
            <w:r>
              <w:rPr>
                <w:color w:val="000000"/>
                <w:sz w:val="22"/>
                <w:szCs w:val="22"/>
                <w:highlight w:val="white"/>
              </w:rPr>
            </w:r>
          </w:p>
        </w:tc>
      </w:tr>
      <w:tr>
        <w:tblPrEx/>
        <w:trPr>
          <w:trHeight w:val="567"/>
        </w:trPr>
        <w:tc>
          <w:tcPr>
            <w:shd w:val="clear" w:color="auto" w:fill="auto"/>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30" w:type="dxa"/>
              <w:top w:w="0" w:type="dxa"/>
              <w:right w:w="30" w:type="dxa"/>
              <w:bottom w:w="0"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сведений о бюджетных обязательствах и сведений о денежных обязательствах</w:t>
            </w:r>
            <w:r>
              <w:rPr>
                <w:color w:val="000000"/>
                <w:sz w:val="22"/>
                <w:szCs w:val="22"/>
                <w:highlight w:val="white"/>
              </w:rPr>
            </w:r>
            <w:r>
              <w:rPr>
                <w:color w:val="000000"/>
                <w:sz w:val="22"/>
                <w:szCs w:val="22"/>
                <w:highlight w:val="white"/>
              </w:rPr>
            </w:r>
          </w:p>
        </w:tc>
        <w:tc>
          <w:tcPr>
            <w:shd w:val="clear" w:color="auto" w:fill="auto"/>
            <w:tcMar>
              <w:left w:w="30" w:type="dxa"/>
              <w:top w:w="0" w:type="dxa"/>
              <w:right w:w="30" w:type="dxa"/>
              <w:bottom w:w="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w:t>
            </w:r>
            <w:r>
              <w:rPr>
                <w:color w:val="000000"/>
                <w:sz w:val="22"/>
                <w:szCs w:val="22"/>
                <w:highlight w:val="white"/>
              </w:rPr>
            </w:r>
            <w:r>
              <w:rPr>
                <w:color w:val="000000"/>
                <w:sz w:val="22"/>
                <w:szCs w:val="22"/>
                <w:highlight w:val="white"/>
              </w:rPr>
            </w:r>
          </w:p>
        </w:tc>
        <w:tc>
          <w:tcPr>
            <w:shd w:val="clear" w:color="auto" w:fill="auto"/>
            <w:tcMar>
              <w:left w:w="30" w:type="dxa"/>
              <w:top w:w="0" w:type="dxa"/>
              <w:right w:w="30" w:type="dxa"/>
              <w:bottom w:w="0" w:type="dxa"/>
            </w:tcMar>
            <w:tcW w:w="3118" w:type="dxa"/>
            <w:vAlign w:val="center"/>
            <w:textDirection w:val="lrTb"/>
            <w:noWrap w:val="false"/>
          </w:tcPr>
          <w:p>
            <w:pPr>
              <w:ind w:left="57" w:right="57" w:hanging="57"/>
              <w:jc w:val="left"/>
              <w:rPr>
                <w:color w:val="000000"/>
                <w:sz w:val="22"/>
                <w:szCs w:val="22"/>
                <w:highlight w:val="yellow"/>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БО.003 </w:t>
            </w:r>
            <w:r>
              <w:rPr>
                <w:color w:val="000000"/>
                <w:sz w:val="22"/>
                <w:szCs w:val="22"/>
                <w:highlight w:val="white"/>
              </w:rPr>
              <w:t xml:space="preserve">Клиент.Утверждение</w:t>
            </w:r>
            <w:r>
              <w:rPr>
                <w:color w:val="000000"/>
                <w:sz w:val="22"/>
                <w:szCs w:val="22"/>
                <w:highlight w:val="white"/>
              </w:rPr>
              <w:t xml:space="preserve"> СБО (ПБС)</w:t>
            </w:r>
            <w:r>
              <w:rPr>
                <w:rStyle w:val="1325"/>
                <w:color w:val="000000"/>
                <w:sz w:val="22"/>
                <w:szCs w:val="22"/>
                <w:highlight w:val="white"/>
              </w:rPr>
              <w:footnoteReference w:customMarkFollows="1" w:id="23"/>
            </w:r>
            <w:r>
              <w:rPr>
                <w:rStyle w:val="1325"/>
                <w:color w:val="000000"/>
                <w:sz w:val="22"/>
                <w:szCs w:val="22"/>
                <w:highlight w:val="yellow"/>
              </w:rPr>
              <w:t xml:space="preserve">*</w:t>
            </w:r>
            <w:r>
              <w:rPr>
                <w:color w:val="000000"/>
                <w:sz w:val="22"/>
                <w:szCs w:val="22"/>
                <w:highlight w:val="yellow"/>
              </w:rPr>
            </w:r>
            <w:r>
              <w:rPr>
                <w:color w:val="000000"/>
                <w:sz w:val="22"/>
                <w:szCs w:val="22"/>
                <w:highlight w:val="yellow"/>
              </w:rPr>
            </w:r>
          </w:p>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К</w:t>
            </w:r>
            <w:r>
              <w:rPr>
                <w:color w:val="000000"/>
                <w:sz w:val="22"/>
                <w:szCs w:val="22"/>
                <w:highlight w:val="white"/>
              </w:rPr>
              <w:t xml:space="preserve">лиент.Уполномоченное_лицо_БО_ДО</w:t>
            </w:r>
            <w:r>
              <w:rPr>
                <w:color w:val="000000"/>
                <w:sz w:val="22"/>
                <w:szCs w:val="22"/>
                <w:highlight w:val="white"/>
              </w:rPr>
            </w:r>
            <w:r>
              <w:rPr>
                <w:color w:val="000000"/>
                <w:sz w:val="22"/>
                <w:szCs w:val="22"/>
                <w:highlight w:val="white"/>
              </w:rPr>
            </w:r>
          </w:p>
        </w:tc>
      </w:tr>
      <w:tr>
        <w:tblPrEx/>
        <w:trPr>
          <w:trHeight w:val="947"/>
        </w:trPr>
        <w:tc>
          <w:tcPr>
            <w:gridSpan w:val="4"/>
            <w:shd w:val="clear" w:color="auto" w:fill="auto"/>
            <w:tcMar>
              <w:left w:w="108" w:type="dxa"/>
              <w:right w:w="108" w:type="dxa"/>
            </w:tcMar>
            <w:tcW w:w="9747" w:type="dxa"/>
            <w:vAlign w:val="center"/>
            <w:textDirection w:val="lrTb"/>
            <w:noWrap w:val="false"/>
          </w:tcPr>
          <w:p>
            <w:pPr>
              <w:ind w:left="57" w:right="57"/>
              <w:jc w:val="center"/>
              <w:keepNext/>
              <w:spacing w:before="120" w:after="120"/>
              <w:rPr>
                <w:b/>
                <w:color w:val="000000"/>
                <w:highlight w:val="white"/>
              </w:rPr>
            </w:pPr>
            <w:r>
              <w:rPr>
                <w:b/>
                <w:color w:val="000000"/>
                <w:highlight w:val="white"/>
              </w:rPr>
              <w:t xml:space="preserve">Для территориальных органов федерального казначейства (далее – ТОФК)</w:t>
            </w:r>
            <w:r>
              <w:rPr>
                <w:b/>
                <w:color w:val="000000"/>
                <w:highlight w:val="white"/>
                <w:vertAlign w:val="superscript"/>
              </w:rPr>
              <w:footnoteReference w:id="24"/>
            </w:r>
            <w:r>
              <w:rPr>
                <w:b/>
                <w:color w:val="000000"/>
                <w:highlight w:val="white"/>
              </w:rPr>
            </w:r>
            <w:r>
              <w:rPr>
                <w:b/>
                <w:color w:val="000000"/>
                <w:highlight w:val="white"/>
              </w:rPr>
            </w:r>
          </w:p>
        </w:tc>
      </w:tr>
      <w:tr>
        <w:tblPrEx/>
        <w:trPr>
          <w:trHeight w:val="567"/>
        </w:trPr>
        <w:tc>
          <w:tcPr>
            <w:shd w:val="clear" w:color="auto" w:fill="auto"/>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vMerge w:val="restart"/>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Ведение операций по учету бюджетных и денежных обязательств получателей бюджетных средств, санкционирование операций со средствами бюджета и средствами во временном распоряжении </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БО,ДО.006.ТОФК.Исполнитель БО,ДО</w:t>
            </w:r>
            <w:r>
              <w:rPr>
                <w:color w:val="000000"/>
                <w:sz w:val="22"/>
                <w:szCs w:val="22"/>
                <w:highlight w:val="white"/>
              </w:rPr>
            </w:r>
            <w:r>
              <w:rPr>
                <w:color w:val="000000"/>
                <w:sz w:val="22"/>
                <w:szCs w:val="22"/>
                <w:highlight w:val="white"/>
              </w:rPr>
            </w:r>
          </w:p>
        </w:tc>
      </w:tr>
      <w:tr>
        <w:tblPrEx/>
        <w:trPr>
          <w:trHeight w:val="567"/>
        </w:trPr>
        <w:tc>
          <w:tcPr>
            <w:shd w:val="clear" w:color="auto" w:fill="auto"/>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Borders>
              <w:bottom w:val="single" w:color="000000" w:sz="4" w:space="0"/>
            </w:tcBorders>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Просмотр</w:t>
            </w:r>
            <w:r>
              <w:rPr>
                <w:color w:val="000000"/>
                <w:sz w:val="22"/>
                <w:szCs w:val="22"/>
                <w:highlight w:val="white"/>
              </w:rPr>
            </w:r>
            <w:r>
              <w:rPr>
                <w:color w:val="000000"/>
                <w:sz w:val="22"/>
                <w:szCs w:val="22"/>
                <w:highlight w:val="white"/>
              </w:rPr>
            </w:r>
          </w:p>
        </w:tc>
        <w:tc>
          <w:tcPr>
            <w:shd w:val="clear" w:color="auto" w:fill="auto"/>
            <w:tcBorders>
              <w:bottom w:val="single" w:color="000000" w:sz="4" w:space="0"/>
            </w:tcBorders>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БО,ДО.009.ТОФК.Просмотр БО,ДО</w:t>
            </w:r>
            <w:r>
              <w:rPr>
                <w:color w:val="000000"/>
                <w:sz w:val="22"/>
                <w:szCs w:val="22"/>
                <w:highlight w:val="white"/>
              </w:rPr>
            </w:r>
            <w:r>
              <w:rPr>
                <w:color w:val="000000"/>
                <w:sz w:val="22"/>
                <w:szCs w:val="22"/>
                <w:highlight w:val="white"/>
              </w:rPr>
            </w:r>
          </w:p>
        </w:tc>
      </w:tr>
      <w:tr>
        <w:tblPrEx/>
        <w:trPr>
          <w:trHeight w:val="567"/>
        </w:trPr>
        <w:tc>
          <w:tcPr>
            <w:shd w:val="clear" w:color="auto" w:fill="auto"/>
            <w:tcMar>
              <w:left w:w="108" w:type="dxa"/>
              <w:right w:w="108" w:type="dxa"/>
            </w:tcMar>
            <w:tcW w:w="534" w:type="dxa"/>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4239" w:type="dxa"/>
            <w:vAlign w:val="center"/>
            <w:vMerge w:val="continue"/>
            <w:textDirection w:val="lrTb"/>
            <w:noWrap w:val="false"/>
          </w:tcPr>
          <w:p>
            <w:pPr>
              <w:ind w:firstLine="0"/>
              <w:jc w:val="left"/>
              <w:spacing w:line="276" w:lineRule="auto"/>
              <w:widowControl w:val="off"/>
              <w:rPr>
                <w:color w:val="000000"/>
                <w:sz w:val="22"/>
                <w:szCs w:val="22"/>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rPr>
            </w:r>
            <w:r>
              <w:rPr>
                <w:color w:val="000000"/>
                <w:sz w:val="22"/>
                <w:szCs w:val="22"/>
              </w:rPr>
            </w:r>
            <w:r>
              <w:rPr>
                <w:color w:val="000000"/>
                <w:sz w:val="22"/>
                <w:szCs w:val="22"/>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БО,ДО.007 </w:t>
            </w:r>
            <w:r>
              <w:rPr>
                <w:color w:val="000000"/>
                <w:sz w:val="22"/>
                <w:szCs w:val="22"/>
                <w:highlight w:val="white"/>
              </w:rPr>
              <w:t xml:space="preserve">ТОФК.Согласование</w:t>
            </w:r>
            <w:r>
              <w:rPr>
                <w:color w:val="000000"/>
                <w:sz w:val="22"/>
                <w:szCs w:val="22"/>
                <w:highlight w:val="white"/>
              </w:rPr>
              <w:t xml:space="preserve"> БО,ДО</w:t>
            </w:r>
            <w:r>
              <w:rPr>
                <w:color w:val="000000"/>
                <w:sz w:val="22"/>
                <w:szCs w:val="22"/>
                <w:highlight w:val="white"/>
              </w:rPr>
            </w:r>
            <w:r>
              <w:rPr>
                <w:color w:val="000000"/>
                <w:sz w:val="22"/>
                <w:szCs w:val="22"/>
                <w:highlight w:val="white"/>
              </w:rPr>
            </w:r>
          </w:p>
        </w:tc>
      </w:tr>
      <w:tr>
        <w:tblPrEx/>
        <w:trPr>
          <w:trHeight w:val="567"/>
        </w:trPr>
        <w:tc>
          <w:tcPr>
            <w:shd w:val="clear" w:color="auto" w:fill="auto"/>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 документов по операциям учета бюджетных и денежных обязательств получателей бюджетных средств, операциям со средствами бюджета и средствами во временном распоряжении</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Утверждение</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БО,ДО.008 </w:t>
            </w:r>
            <w:r>
              <w:rPr>
                <w:color w:val="000000"/>
                <w:sz w:val="22"/>
                <w:szCs w:val="22"/>
                <w:highlight w:val="white"/>
              </w:rPr>
              <w:t xml:space="preserve">ТОФК.Утверждение</w:t>
            </w:r>
            <w:r>
              <w:rPr>
                <w:color w:val="000000"/>
                <w:sz w:val="22"/>
                <w:szCs w:val="22"/>
                <w:highlight w:val="white"/>
              </w:rPr>
              <w:t xml:space="preserve"> БО,ДО</w:t>
            </w:r>
            <w:r>
              <w:rPr>
                <w:color w:val="000000"/>
                <w:sz w:val="22"/>
                <w:szCs w:val="22"/>
                <w:highlight w:val="white"/>
              </w:rPr>
            </w:r>
            <w:r>
              <w:rPr>
                <w:color w:val="000000"/>
                <w:sz w:val="22"/>
                <w:szCs w:val="22"/>
                <w:highlight w:val="white"/>
              </w:rPr>
            </w:r>
          </w:p>
        </w:tc>
      </w:tr>
      <w:tr>
        <w:tblPrEx/>
        <w:trPr>
          <w:trHeight w:val="567"/>
        </w:trPr>
        <w:tc>
          <w:tcPr>
            <w:shd w:val="clear" w:color="auto" w:fill="auto"/>
            <w:tcBorders>
              <w:top w:val="single" w:color="000000" w:sz="4" w:space="0"/>
              <w:left w:val="single" w:color="000000" w:sz="4" w:space="0"/>
              <w:right w:val="single" w:color="000000" w:sz="4" w:space="0"/>
            </w:tcBorders>
            <w:tcMar>
              <w:left w:w="108" w:type="dxa"/>
              <w:right w:w="108" w:type="dxa"/>
            </w:tcMar>
            <w:tcW w:w="534" w:type="dxa"/>
            <w:vMerge w:val="restart"/>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t xml:space="preserve"> </w:t>
            </w:r>
            <w:r>
              <w:rPr>
                <w:highlight w:val="white"/>
              </w:rPr>
            </w:r>
            <w:r>
              <w:rPr>
                <w:highlight w:val="white"/>
              </w:rPr>
            </w:r>
          </w:p>
        </w:tc>
        <w:tc>
          <w:tcPr>
            <w:shd w:val="clear" w:color="auto" w:fill="auto"/>
            <w:tcBorders>
              <w:top w:val="single" w:color="000000" w:sz="4" w:space="0"/>
              <w:left w:val="single" w:color="000000" w:sz="4" w:space="0"/>
              <w:right w:val="single" w:color="000000" w:sz="4" w:space="0"/>
            </w:tcBorders>
            <w:tcMar>
              <w:left w:w="100" w:type="dxa"/>
              <w:top w:w="100" w:type="dxa"/>
              <w:right w:w="100" w:type="dxa"/>
              <w:bottom w:w="100" w:type="dxa"/>
            </w:tcMar>
            <w:tcW w:w="4239" w:type="dxa"/>
            <w:vAlign w:val="center"/>
            <w:vMerge w:val="restart"/>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Выполнение операций по учёту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Pr>
                <w:sz w:val="22"/>
                <w:szCs w:val="22"/>
                <w:highlight w:val="white"/>
              </w:rPr>
            </w:r>
            <w:r>
              <w:rPr>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1856"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sz w:val="22"/>
                <w:szCs w:val="22"/>
                <w:highlight w:val="white"/>
              </w:rPr>
            </w:r>
            <w:r>
              <w:rPr>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3118"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ИД.РНО.020.ТОФК.ЮУ. Исполнитель </w:t>
            </w:r>
            <w:r>
              <w:rPr>
                <w:sz w:val="22"/>
                <w:szCs w:val="22"/>
                <w:highlight w:val="white"/>
              </w:rPr>
              <w:t xml:space="preserve">Юр.отдела</w:t>
            </w:r>
            <w:r>
              <w:rPr>
                <w:sz w:val="22"/>
                <w:szCs w:val="22"/>
                <w:highlight w:val="white"/>
              </w:rPr>
            </w:r>
            <w:r>
              <w:rPr>
                <w:sz w:val="22"/>
                <w:szCs w:val="22"/>
                <w:highlight w:val="white"/>
              </w:rPr>
            </w:r>
          </w:p>
        </w:tc>
      </w:tr>
      <w:tr>
        <w:tblPrEx/>
        <w:trPr>
          <w:trHeight w:val="567"/>
        </w:trPr>
        <w:tc>
          <w:tcPr>
            <w:shd w:val="clear" w:color="auto" w:fill="auto"/>
            <w:tcBorders>
              <w:left w:val="single" w:color="000000" w:sz="4" w:space="0"/>
              <w:right w:val="single" w:color="000000" w:sz="4" w:space="0"/>
            </w:tcBorders>
            <w:tcMar>
              <w:left w:w="108" w:type="dxa"/>
              <w:right w:w="108" w:type="dxa"/>
            </w:tcMar>
            <w:tcW w:w="534" w:type="dxa"/>
            <w:vMerge w:val="continue"/>
            <w:textDirection w:val="lrTb"/>
            <w:noWrap w:val="false"/>
          </w:tcPr>
          <w:p>
            <w:pPr>
              <w:numPr>
                <w:ilvl w:val="0"/>
                <w:numId w:val="1"/>
              </w:numPr>
              <w:ind w:left="57" w:firstLine="0"/>
              <w:jc w:val="left"/>
              <w:pBdr>
                <w:top w:val="none" w:color="000000" w:sz="4" w:space="0"/>
                <w:left w:val="none" w:color="000000" w:sz="4" w:space="0"/>
                <w:bottom w:val="none" w:color="000000" w:sz="4" w:space="0"/>
                <w:right w:val="none" w:color="000000" w:sz="4" w:space="0"/>
                <w:between w:val="none" w:color="000000" w:sz="4" w:space="0"/>
              </w:pBdr>
            </w:pPr>
            <w:r/>
            <w:r/>
          </w:p>
        </w:tc>
        <w:tc>
          <w:tcPr>
            <w:shd w:val="clear" w:color="auto" w:fill="auto"/>
            <w:tcBorders>
              <w:left w:val="single" w:color="000000" w:sz="4" w:space="0"/>
              <w:right w:val="single" w:color="000000" w:sz="4" w:space="0"/>
            </w:tcBorders>
            <w:tcMar>
              <w:left w:w="100" w:type="dxa"/>
              <w:top w:w="100" w:type="dxa"/>
              <w:right w:w="100" w:type="dxa"/>
              <w:bottom w:w="100" w:type="dxa"/>
            </w:tcMar>
            <w:tcW w:w="4239" w:type="dxa"/>
            <w:vAlign w:val="center"/>
            <w:vMerge w:val="continue"/>
            <w:textDirection w:val="lrTb"/>
            <w:noWrap w:val="false"/>
          </w:tcPr>
          <w:p>
            <w:pPr>
              <w:ind w:left="57" w:right="57" w:hanging="57"/>
              <w:jc w:val="left"/>
              <w:rPr>
                <w:sz w:val="22"/>
                <w:szCs w:val="22"/>
              </w:rPr>
              <w:pBdr>
                <w:top w:val="none" w:color="000000" w:sz="4" w:space="0"/>
                <w:left w:val="none" w:color="000000" w:sz="4" w:space="0"/>
                <w:bottom w:val="none" w:color="000000" w:sz="4" w:space="0"/>
                <w:right w:val="none" w:color="000000" w:sz="4" w:space="0"/>
                <w:between w:val="none" w:color="000000" w:sz="4" w:space="0"/>
              </w:pBdr>
            </w:pPr>
            <w:r>
              <w:rPr>
                <w:sz w:val="22"/>
                <w:szCs w:val="22"/>
              </w:rPr>
            </w:r>
            <w:r>
              <w:rPr>
                <w:sz w:val="22"/>
                <w:szCs w:val="22"/>
              </w:rPr>
            </w:r>
            <w:r>
              <w:rPr>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1856"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Согласование</w:t>
            </w:r>
            <w:r>
              <w:rPr>
                <w:sz w:val="22"/>
                <w:szCs w:val="22"/>
                <w:highlight w:val="white"/>
              </w:rPr>
            </w:r>
            <w:r>
              <w:rPr>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3118"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ИД.РНО.021.ТОФК.ЮУ. Начальник </w:t>
            </w:r>
            <w:r>
              <w:rPr>
                <w:sz w:val="22"/>
                <w:szCs w:val="22"/>
                <w:highlight w:val="white"/>
              </w:rPr>
              <w:t xml:space="preserve">Юр.отдела</w:t>
            </w:r>
            <w:r>
              <w:rPr>
                <w:sz w:val="22"/>
                <w:szCs w:val="22"/>
                <w:highlight w:val="white"/>
              </w:rPr>
            </w:r>
            <w:r>
              <w:rPr>
                <w:sz w:val="22"/>
                <w:szCs w:val="22"/>
                <w:highlight w:val="white"/>
              </w:rPr>
            </w:r>
          </w:p>
        </w:tc>
      </w:tr>
      <w:tr>
        <w:tblPrEx/>
        <w:trPr>
          <w:trHeight w:val="567"/>
        </w:trPr>
        <w:tc>
          <w:tcPr>
            <w:shd w:val="clear" w:color="auto" w:fill="auto"/>
            <w:tcBorders>
              <w:left w:val="single" w:color="000000" w:sz="4" w:space="0"/>
              <w:bottom w:val="single" w:color="000000" w:sz="4" w:space="0"/>
              <w:right w:val="single" w:color="000000" w:sz="4" w:space="0"/>
            </w:tcBorders>
            <w:tcMar>
              <w:left w:w="108" w:type="dxa"/>
              <w:right w:w="108" w:type="dxa"/>
            </w:tcMar>
            <w:tcW w:w="534" w:type="dxa"/>
            <w:vMerge w:val="continue"/>
            <w:textDirection w:val="lrTb"/>
            <w:noWrap w:val="false"/>
          </w:tcPr>
          <w:p>
            <w:pPr>
              <w:numPr>
                <w:ilvl w:val="0"/>
                <w:numId w:val="1"/>
              </w:numPr>
              <w:ind w:left="57" w:firstLine="0"/>
              <w:jc w:val="left"/>
              <w:pBdr>
                <w:top w:val="none" w:color="000000" w:sz="4" w:space="0"/>
                <w:left w:val="none" w:color="000000" w:sz="4" w:space="0"/>
                <w:bottom w:val="none" w:color="000000" w:sz="4" w:space="0"/>
                <w:right w:val="none" w:color="000000" w:sz="4" w:space="0"/>
                <w:between w:val="none" w:color="000000" w:sz="4" w:space="0"/>
              </w:pBdr>
            </w:pPr>
            <w:r/>
            <w:r/>
          </w:p>
        </w:tc>
        <w:tc>
          <w:tcPr>
            <w:shd w:val="clear" w:color="auto" w:fill="auto"/>
            <w:tcBorders>
              <w:left w:val="single" w:color="000000" w:sz="4" w:space="0"/>
              <w:bottom w:val="single" w:color="000000" w:sz="4" w:space="0"/>
              <w:right w:val="single" w:color="000000" w:sz="4" w:space="0"/>
            </w:tcBorders>
            <w:tcMar>
              <w:left w:w="100" w:type="dxa"/>
              <w:top w:w="100" w:type="dxa"/>
              <w:right w:w="100" w:type="dxa"/>
              <w:bottom w:w="100" w:type="dxa"/>
            </w:tcMar>
            <w:tcW w:w="4239" w:type="dxa"/>
            <w:vAlign w:val="center"/>
            <w:vMerge w:val="continue"/>
            <w:textDirection w:val="lrTb"/>
            <w:noWrap w:val="false"/>
          </w:tcPr>
          <w:p>
            <w:pPr>
              <w:ind w:left="57" w:right="57" w:hanging="57"/>
              <w:jc w:val="left"/>
              <w:rPr>
                <w:sz w:val="22"/>
                <w:szCs w:val="22"/>
              </w:rPr>
              <w:pBdr>
                <w:top w:val="none" w:color="000000" w:sz="4" w:space="0"/>
                <w:left w:val="none" w:color="000000" w:sz="4" w:space="0"/>
                <w:bottom w:val="none" w:color="000000" w:sz="4" w:space="0"/>
                <w:right w:val="none" w:color="000000" w:sz="4" w:space="0"/>
                <w:between w:val="none" w:color="000000" w:sz="4" w:space="0"/>
              </w:pBdr>
            </w:pPr>
            <w:r>
              <w:rPr>
                <w:sz w:val="22"/>
                <w:szCs w:val="22"/>
              </w:rPr>
            </w:r>
            <w:r>
              <w:rPr>
                <w:sz w:val="22"/>
                <w:szCs w:val="22"/>
              </w:rPr>
            </w:r>
            <w:r>
              <w:rPr>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1856" w:type="dxa"/>
            <w:vAlign w:val="center"/>
            <w:textDirection w:val="lrTb"/>
            <w:noWrap w:val="false"/>
          </w:tcPr>
          <w:p>
            <w:pPr>
              <w:ind w:left="57" w:right="57" w:hanging="57"/>
              <w:jc w:val="left"/>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Утверждение</w:t>
            </w:r>
            <w:r>
              <w:rPr>
                <w:color w:val="000000"/>
                <w:sz w:val="22"/>
                <w:szCs w:val="22"/>
                <w:highlight w:val="white"/>
              </w:rPr>
            </w:r>
            <w:r>
              <w:rPr>
                <w:color w:val="000000"/>
                <w:sz w:val="22"/>
                <w:szCs w:val="22"/>
                <w:highlight w:val="white"/>
              </w:rPr>
            </w:r>
          </w:p>
        </w:tc>
        <w:tc>
          <w:tcPr>
            <w:shd w:val="clear" w:color="auto" w:fill="auto"/>
            <w:tcBorders>
              <w:top w:val="single" w:color="000000" w:sz="4" w:space="0"/>
              <w:left w:val="single" w:color="000000" w:sz="4" w:space="0"/>
              <w:bottom w:val="single" w:color="000000" w:sz="4" w:space="0"/>
              <w:right w:val="single" w:color="000000" w:sz="4" w:space="0"/>
            </w:tcBorders>
            <w:tcMar>
              <w:left w:w="100" w:type="dxa"/>
              <w:top w:w="100" w:type="dxa"/>
              <w:right w:w="100" w:type="dxa"/>
              <w:bottom w:w="100" w:type="dxa"/>
            </w:tcMar>
            <w:tcW w:w="3118" w:type="dxa"/>
            <w:vAlign w:val="center"/>
            <w:textDirection w:val="lrTb"/>
            <w:noWrap w:val="false"/>
          </w:tcPr>
          <w:p>
            <w:pPr>
              <w:ind w:left="57" w:right="57" w:hanging="57"/>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ИД.РНО.021.ТОФК.ЮУ. Начальник </w:t>
            </w:r>
            <w:r>
              <w:rPr>
                <w:sz w:val="22"/>
                <w:szCs w:val="22"/>
                <w:highlight w:val="white"/>
              </w:rPr>
              <w:t xml:space="preserve">Юр.отдела</w:t>
            </w:r>
            <w:r>
              <w:rPr>
                <w:sz w:val="22"/>
                <w:szCs w:val="22"/>
                <w:highlight w:val="white"/>
              </w:rPr>
            </w:r>
            <w:r>
              <w:rPr>
                <w:sz w:val="22"/>
                <w:szCs w:val="22"/>
                <w:highlight w:val="white"/>
              </w:rPr>
            </w:r>
          </w:p>
        </w:tc>
      </w:tr>
      <w:tr>
        <w:tblPrEx/>
        <w:trPr>
          <w:trHeight w:val="300"/>
        </w:trPr>
        <w:tc>
          <w:tcPr>
            <w:gridSpan w:val="4"/>
            <w:shd w:val="clear" w:color="auto" w:fill="auto"/>
            <w:tcBorders>
              <w:top w:val="single" w:color="000000" w:sz="4" w:space="0"/>
            </w:tcBorders>
            <w:tcMar>
              <w:left w:w="108" w:type="dxa"/>
              <w:right w:w="108" w:type="dxa"/>
            </w:tcMar>
            <w:tcW w:w="9747" w:type="dxa"/>
            <w:vAlign w:val="center"/>
            <w:textDirection w:val="lrTb"/>
            <w:noWrap w:val="false"/>
          </w:tcPr>
          <w:p>
            <w:pPr>
              <w:ind w:left="57" w:right="57"/>
              <w:jc w:val="center"/>
              <w:spacing w:before="120" w:after="120"/>
              <w:rPr>
                <w:b/>
                <w:color w:val="000000"/>
                <w:highlight w:val="white"/>
              </w:rPr>
            </w:pPr>
            <w:r>
              <w:rPr>
                <w:b/>
                <w:color w:val="000000"/>
                <w:highlight w:val="white"/>
              </w:rPr>
              <w:t xml:space="preserve">С</w:t>
            </w:r>
            <w:r>
              <w:rPr>
                <w:b/>
                <w:highlight w:val="white"/>
              </w:rPr>
              <w:t xml:space="preserve">пециальные полномочия </w:t>
            </w:r>
            <w:r>
              <w:rPr>
                <w:b/>
                <w:color w:val="000000"/>
                <w:highlight w:val="white"/>
              </w:rPr>
              <w:t xml:space="preserve">подсистемы управления расходами оператора государственной интегрированной информационной системы управления общественными финансами «Электронный бюджет»</w:t>
            </w:r>
            <w:r>
              <w:rPr>
                <w:b/>
                <w:color w:val="000000"/>
                <w:highlight w:val="white"/>
              </w:rPr>
            </w:r>
            <w:r>
              <w:rPr>
                <w:b/>
                <w:color w:val="000000"/>
                <w:highlight w:val="white"/>
              </w:rPr>
            </w:r>
          </w:p>
        </w:tc>
      </w:tr>
      <w:tr>
        <w:tblPrEx/>
        <w:trPr>
          <w:trHeight w:val="2223"/>
        </w:trPr>
        <w:tc>
          <w:tcPr>
            <w:shd w:val="clear" w:color="auto" w:fill="auto"/>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textDirection w:val="lrTb"/>
            <w:noWrap w:val="false"/>
          </w:tcPr>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Ведение справочников, необходимых для операций по учёту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w:t>
            </w:r>
            <w:r>
              <w:rPr>
                <w:sz w:val="22"/>
                <w:szCs w:val="22"/>
                <w:highlight w:val="white"/>
              </w:rPr>
              <w:t xml:space="preserve">ской Федерации в подсистеме управления расходами государственной интегрированной информационной системы управления общественными финансами «Электронный бюджет»</w:t>
            </w:r>
            <w:r>
              <w:rPr>
                <w:rStyle w:val="1325"/>
                <w:sz w:val="22"/>
                <w:szCs w:val="22"/>
                <w:highlight w:val="white"/>
              </w:rPr>
              <w:footnoteReference w:id="25"/>
            </w:r>
            <w:r>
              <w:rPr>
                <w:sz w:val="22"/>
                <w:szCs w:val="22"/>
                <w:highlight w:val="white"/>
              </w:rPr>
            </w:r>
            <w:r>
              <w:rPr>
                <w:sz w:val="22"/>
                <w:szCs w:val="22"/>
                <w:highlight w:val="white"/>
              </w:rPr>
            </w:r>
          </w:p>
        </w:tc>
        <w:tc>
          <w:tcPr>
            <w:shd w:val="clear" w:color="auto" w:fill="auto"/>
            <w:tcMar>
              <w:left w:w="108" w:type="dxa"/>
              <w:right w:w="108" w:type="dxa"/>
            </w:tcMar>
            <w:tcW w:w="1856"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ИД.РНО.022.Администратор справочника</w:t>
            </w:r>
            <w:r>
              <w:rPr>
                <w:color w:val="000000"/>
                <w:sz w:val="22"/>
                <w:szCs w:val="22"/>
                <w:highlight w:val="white"/>
              </w:rPr>
            </w:r>
            <w:r>
              <w:rPr>
                <w:color w:val="000000"/>
                <w:sz w:val="22"/>
                <w:szCs w:val="22"/>
                <w:highlight w:val="white"/>
              </w:rPr>
            </w:r>
          </w:p>
        </w:tc>
      </w:tr>
      <w:tr>
        <w:tblPrEx/>
        <w:trPr>
          <w:trHeight w:val="2223"/>
        </w:trPr>
        <w:tc>
          <w:tcPr>
            <w:shd w:val="clear" w:color="auto" w:fill="auto"/>
            <w:tcMar>
              <w:left w:w="108" w:type="dxa"/>
              <w:right w:w="108" w:type="dxa"/>
            </w:tcMar>
            <w:tcW w:w="534" w:type="dxa"/>
            <w:textDirection w:val="lrTb"/>
            <w:noWrap w:val="false"/>
          </w:tcPr>
          <w:p>
            <w:pPr>
              <w:numPr>
                <w:ilvl w:val="0"/>
                <w:numId w:val="1"/>
              </w:numPr>
              <w:ind w:left="57" w:firstLine="0"/>
              <w:jc w:val="left"/>
              <w:rPr>
                <w:highlight w:val="white"/>
              </w:rPr>
              <w:pBdr>
                <w:top w:val="none" w:color="000000" w:sz="4" w:space="0"/>
                <w:left w:val="none" w:color="000000" w:sz="4" w:space="0"/>
                <w:bottom w:val="none" w:color="000000" w:sz="4" w:space="0"/>
                <w:right w:val="none" w:color="000000" w:sz="4" w:space="0"/>
                <w:between w:val="none" w:color="000000" w:sz="4" w:space="0"/>
              </w:pBdr>
            </w:pPr>
            <w:r>
              <w:rPr>
                <w:highlight w:val="white"/>
              </w:rPr>
            </w:r>
            <w:r>
              <w:rPr>
                <w:highlight w:val="white"/>
              </w:rPr>
            </w:r>
            <w:r>
              <w:rPr>
                <w:highlight w:val="white"/>
              </w:rPr>
            </w:r>
          </w:p>
        </w:tc>
        <w:tc>
          <w:tcPr>
            <w:shd w:val="clear" w:color="auto" w:fill="auto"/>
            <w:tcMar>
              <w:left w:w="108" w:type="dxa"/>
              <w:right w:w="108" w:type="dxa"/>
            </w:tcMar>
            <w:tcW w:w="4239"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Выполнение специальных операций по учёту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Pr>
                <w:rStyle w:val="1325"/>
                <w:highlight w:val="white"/>
              </w:rPr>
              <w:footnoteReference w:id="26"/>
            </w:r>
            <w:r>
              <w:rPr>
                <w:color w:val="000000"/>
                <w:sz w:val="22"/>
                <w:szCs w:val="22"/>
                <w:highlight w:val="white"/>
              </w:rPr>
            </w:r>
            <w:r>
              <w:rPr>
                <w:color w:val="000000"/>
                <w:sz w:val="22"/>
                <w:szCs w:val="22"/>
                <w:highlight w:val="white"/>
              </w:rPr>
            </w:r>
          </w:p>
        </w:tc>
        <w:tc>
          <w:tcPr>
            <w:shd w:val="clear" w:color="auto" w:fill="auto"/>
            <w:tcMar>
              <w:left w:w="108" w:type="dxa"/>
              <w:right w:w="108" w:type="dxa"/>
            </w:tcMar>
            <w:tcW w:w="1856"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ИД.РНО.023.Специальные полномочия</w:t>
            </w:r>
            <w:r>
              <w:rPr>
                <w:color w:val="000000"/>
                <w:sz w:val="22"/>
                <w:szCs w:val="22"/>
                <w:highlight w:val="white"/>
              </w:rPr>
            </w:r>
            <w:r>
              <w:rPr>
                <w:color w:val="000000"/>
                <w:sz w:val="22"/>
                <w:szCs w:val="22"/>
                <w:highlight w:val="white"/>
              </w:rPr>
            </w:r>
          </w:p>
        </w:tc>
      </w:tr>
      <w:tr>
        <w:tblPrEx/>
        <w:trPr>
          <w:trHeight w:val="567"/>
        </w:trPr>
        <w:tc>
          <w:tcPr>
            <w:shd w:val="clear" w:color="auto" w:fill="auto"/>
            <w:tcMar>
              <w:left w:w="108" w:type="dxa"/>
              <w:right w:w="108" w:type="dxa"/>
            </w:tcMar>
            <w:tcW w:w="534" w:type="dxa"/>
            <w:textDirection w:val="lrTb"/>
            <w:noWrap w:val="false"/>
          </w:tcPr>
          <w:p>
            <w:pPr>
              <w:numPr>
                <w:ilvl w:val="0"/>
                <w:numId w:val="1"/>
              </w:numPr>
              <w:ind w:left="57" w:firstLine="0"/>
              <w:jc w:val="left"/>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r>
            <w:r>
              <w:rPr>
                <w:sz w:val="22"/>
                <w:szCs w:val="22"/>
                <w:highlight w:val="white"/>
              </w:rPr>
            </w:r>
            <w:r>
              <w:rPr>
                <w:sz w:val="22"/>
                <w:szCs w:val="22"/>
                <w:highlight w:val="white"/>
              </w:rPr>
            </w:r>
          </w:p>
        </w:tc>
        <w:tc>
          <w:tcPr>
            <w:shd w:val="clear" w:color="auto" w:fill="auto"/>
            <w:tcMar>
              <w:left w:w="108" w:type="dxa"/>
              <w:right w:w="108" w:type="dxa"/>
            </w:tcMar>
            <w:tcW w:w="4239" w:type="dxa"/>
            <w:textDirection w:val="lrTb"/>
            <w:noWrap w:val="false"/>
          </w:tcPr>
          <w:p>
            <w:pPr>
              <w:ind w:left="57" w:right="57" w:hanging="57"/>
              <w:rPr>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Специальные полномочия для формирования отчетов ИД, РНО: возможность формирования отчета по данным всех ТОФК</w:t>
            </w:r>
            <w:r>
              <w:rPr>
                <w:rStyle w:val="1325"/>
                <w:color w:val="000000"/>
                <w:sz w:val="22"/>
                <w:szCs w:val="22"/>
                <w:highlight w:val="white"/>
              </w:rPr>
              <w:footnoteReference w:id="27"/>
            </w:r>
            <w:r>
              <w:rPr>
                <w:sz w:val="22"/>
                <w:szCs w:val="22"/>
                <w:highlight w:val="white"/>
              </w:rPr>
            </w:r>
            <w:r>
              <w:rPr>
                <w:sz w:val="22"/>
                <w:szCs w:val="22"/>
                <w:highlight w:val="white"/>
              </w:rPr>
            </w:r>
          </w:p>
        </w:tc>
        <w:tc>
          <w:tcPr>
            <w:shd w:val="clear" w:color="auto" w:fill="auto"/>
            <w:tcMar>
              <w:left w:w="108" w:type="dxa"/>
              <w:right w:w="108" w:type="dxa"/>
            </w:tcMar>
            <w:tcW w:w="1856"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color w:val="000000"/>
                <w:sz w:val="22"/>
                <w:szCs w:val="22"/>
                <w:highlight w:val="white"/>
              </w:rPr>
              <w:t xml:space="preserve">Ввод данных</w:t>
            </w:r>
            <w:r>
              <w:rPr>
                <w:color w:val="000000"/>
                <w:sz w:val="22"/>
                <w:szCs w:val="22"/>
                <w:highlight w:val="white"/>
              </w:rPr>
            </w:r>
            <w:r>
              <w:rPr>
                <w:color w:val="000000"/>
                <w:sz w:val="22"/>
                <w:szCs w:val="22"/>
                <w:highlight w:val="white"/>
              </w:rPr>
            </w:r>
          </w:p>
        </w:tc>
        <w:tc>
          <w:tcPr>
            <w:shd w:val="clear" w:color="auto" w:fill="auto"/>
            <w:tcMar>
              <w:left w:w="108" w:type="dxa"/>
              <w:right w:w="108" w:type="dxa"/>
            </w:tcMar>
            <w:tcW w:w="3118" w:type="dxa"/>
            <w:textDirection w:val="lrTb"/>
            <w:noWrap w:val="false"/>
          </w:tcPr>
          <w:p>
            <w:pPr>
              <w:ind w:left="57" w:right="57" w:hanging="57"/>
              <w:rPr>
                <w:color w:val="000000"/>
                <w:sz w:val="22"/>
                <w:szCs w:val="22"/>
                <w:highlight w:val="white"/>
              </w:rPr>
              <w:pBdr>
                <w:top w:val="none" w:color="000000" w:sz="4" w:space="0"/>
                <w:left w:val="none" w:color="000000" w:sz="4" w:space="0"/>
                <w:bottom w:val="none" w:color="000000" w:sz="4" w:space="0"/>
                <w:right w:val="none" w:color="000000" w:sz="4" w:space="0"/>
                <w:between w:val="none" w:color="000000" w:sz="4" w:space="0"/>
              </w:pBdr>
            </w:pPr>
            <w:r>
              <w:rPr>
                <w:sz w:val="22"/>
                <w:szCs w:val="22"/>
                <w:highlight w:val="white"/>
              </w:rPr>
              <w:t xml:space="preserve">ИД.РНО.024.Формирование отчетов по всем ТОФК</w:t>
            </w:r>
            <w:r>
              <w:rPr>
                <w:color w:val="000000"/>
                <w:sz w:val="22"/>
                <w:szCs w:val="22"/>
                <w:highlight w:val="white"/>
              </w:rPr>
            </w:r>
            <w:r>
              <w:rPr>
                <w:color w:val="000000"/>
                <w:sz w:val="22"/>
                <w:szCs w:val="22"/>
                <w:highlight w:val="white"/>
              </w:rPr>
            </w:r>
          </w:p>
        </w:tc>
      </w:tr>
    </w:tbl>
    <w:p>
      <w:pPr>
        <w:shd w:val="clear" w:color="auto" w:fill="ffffff"/>
        <w:rPr>
          <w:color w:val="000000"/>
          <w:highlight w:val="white"/>
        </w:rPr>
      </w:pPr>
      <w:r>
        <w:rPr>
          <w:color w:val="000000"/>
          <w:highlight w:val="white"/>
        </w:rPr>
      </w:r>
      <w:r>
        <w:rPr>
          <w:color w:val="000000"/>
          <w:highlight w:val="white"/>
        </w:rPr>
      </w:r>
      <w:r>
        <w:rPr>
          <w:color w:val="000000"/>
          <w:highlight w:val="white"/>
        </w:rPr>
      </w:r>
    </w:p>
    <w:sectPr>
      <w:headerReference w:type="default" r:id="rId9"/>
      <w:headerReference w:type="first" r:id="rId10"/>
      <w:footnotePr>
        <w:numRestart w:val="continuous"/>
        <w:pos w:val="pageBottom"/>
      </w:footnotePr>
      <w:endnotePr/>
      <w:type w:val="nextPage"/>
      <w:pgSz w:w="11906" w:h="16838" w:orient="portrait"/>
      <w:pgMar w:top="1418" w:right="566" w:bottom="851" w:left="1701" w:header="708" w:footer="708" w:gutter="0"/>
      <w:pgNumType w:start="1"/>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Courier New">
    <w:panose1 w:val="020703090202050204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id="2">
    <w:p>
      <w:pPr>
        <w:pStyle w:val="1440"/>
      </w:pPr>
      <w:r>
        <w:rPr>
          <w:rStyle w:val="1325"/>
        </w:rPr>
        <w:t xml:space="preserve">*</w:t>
      </w:r>
      <w:r>
        <w:t xml:space="preserve"> </w:t>
      </w:r>
      <w:r>
        <w:rPr>
          <w:highlight w:val="yellow"/>
        </w:rPr>
        <w:t xml:space="preserve">Т</w:t>
      </w:r>
      <w:r>
        <w:rPr>
          <w:highlight w:val="yellow"/>
        </w:rPr>
        <w:t xml:space="preserve">р</w:t>
      </w:r>
      <w:r>
        <w:rPr>
          <w:highlight w:val="yellow"/>
        </w:rPr>
        <w:t xml:space="preserve">еб</w:t>
      </w:r>
      <w:r>
        <w:rPr>
          <w:highlight w:val="yellow"/>
        </w:rPr>
        <w:t xml:space="preserve">ует согласование оператором информационной системы в соответствии с Карточкой образцов подписей (КОП)</w:t>
      </w:r>
      <w:r>
        <w:rPr>
          <w:highlight w:val="yellow"/>
        </w:rPr>
        <w:t xml:space="preserve">.</w:t>
      </w:r>
      <w:r/>
    </w:p>
  </w:footnote>
  <w:footnote w:id="3">
    <w:p>
      <w:pPr>
        <w:pStyle w:val="1440"/>
      </w:pPr>
      <w:r>
        <w:rPr>
          <w:rStyle w:val="1325"/>
        </w:rPr>
        <w:footnoteRef/>
      </w:r>
      <w:r>
        <w:t xml:space="preserve"> Подключение/изменение полномочий группы </w:t>
      </w:r>
      <w:r>
        <w:t xml:space="preserve">СВР%Клиент</w:t>
      </w:r>
      <w:r>
        <w:t xml:space="preserve">% требуется для осуществления о</w:t>
      </w:r>
      <w:r>
        <w:t xml:space="preserve">пераций со средствами во временном распоряжении Клиентами, имеющими бюджетные полномочия на проведение операций со средствами, поступающими во временное распоряжение получателя бюджетных средств, без полномочий ПБС, АИФ, ИПБС на осуществление операций со с</w:t>
      </w:r>
      <w:r>
        <w:t xml:space="preserve">редствами бюджета (например, обособленными подразделениями Федеральной службы судебных приставов). Если Клиентом проводятся операции как со средствами бюджета, так и со средствами во временном распоряжении, то наличие ролей группы </w:t>
      </w:r>
      <w:r>
        <w:t xml:space="preserve">СВР%Клиент</w:t>
      </w:r>
      <w:r>
        <w:t xml:space="preserve">% не требуется.</w:t>
      </w:r>
      <w:r/>
    </w:p>
  </w:footnote>
  <w:footnote w:id="4">
    <w:p>
      <w:r>
        <w:rPr>
          <w:rStyle w:val="1325"/>
        </w:rPr>
        <w:footnoteRef/>
      </w:r>
      <w:r>
        <w:t xml:space="preserve"> При поступлении заявки на подключение/изменение полномочий с использованием функционала МФЗР используется наименование «Согласование платежных документов»</w:t>
      </w:r>
      <w:r/>
    </w:p>
  </w:footnote>
  <w:footnote w:id="5">
    <w:p>
      <w:pPr>
        <w:pStyle w:val="1440"/>
      </w:pPr>
      <w:r>
        <w:rPr>
          <w:rStyle w:val="1325"/>
        </w:rPr>
        <w:t xml:space="preserve">*</w:t>
      </w:r>
      <w:r>
        <w:t xml:space="preserve"> </w:t>
      </w:r>
      <w:r>
        <w:rPr>
          <w:highlight w:val="yellow"/>
        </w:rPr>
        <w:t xml:space="preserve">Т</w:t>
      </w:r>
      <w:r>
        <w:rPr>
          <w:highlight w:val="yellow"/>
        </w:rPr>
        <w:t xml:space="preserve">р</w:t>
      </w:r>
      <w:r>
        <w:rPr>
          <w:highlight w:val="yellow"/>
        </w:rPr>
        <w:t xml:space="preserve">еб</w:t>
      </w:r>
      <w:r>
        <w:rPr>
          <w:highlight w:val="yellow"/>
        </w:rPr>
        <w:t xml:space="preserve">ует согласование оператором информационной системы в соответствии с Карточкой образцов подписей (КОП)</w:t>
      </w:r>
      <w:r>
        <w:rPr>
          <w:highlight w:val="yellow"/>
        </w:rPr>
        <w:t xml:space="preserve">.</w:t>
      </w:r>
      <w:r/>
    </w:p>
  </w:footnote>
  <w:footnote w:id="6">
    <w:p>
      <w:pPr>
        <w:pStyle w:val="1440"/>
      </w:pPr>
      <w:r>
        <w:rPr>
          <w:rStyle w:val="1325"/>
        </w:rPr>
        <w:t xml:space="preserve">*</w:t>
      </w:r>
      <w:r>
        <w:t xml:space="preserve"> </w:t>
      </w:r>
      <w:r/>
    </w:p>
  </w:footnote>
  <w:footnote w:id="7">
    <w:p>
      <w:pPr>
        <w:pStyle w:val="1440"/>
        <w:ind w:firstLine="0"/>
      </w:pPr>
      <w:r/>
      <w:r/>
    </w:p>
  </w:footnote>
  <w:footnote w:id="8">
    <w:p>
      <w:pPr>
        <w:pStyle w:val="1440"/>
        <w:ind w:firstLine="0"/>
      </w:pPr>
      <w:r/>
      <w:r/>
    </w:p>
  </w:footnote>
  <w:footnote w:id="9">
    <w:p>
      <w:pPr>
        <w:pStyle w:val="1440"/>
        <w:ind w:firstLine="0"/>
      </w:pPr>
      <w:r/>
      <w:r/>
    </w:p>
  </w:footnote>
  <w:footnote w:id="10">
    <w:p>
      <w:pPr>
        <w:pStyle w:val="1440"/>
      </w:pPr>
      <w:r>
        <w:rPr>
          <w:rStyle w:val="1325"/>
        </w:rPr>
        <w:footnoteRef/>
      </w:r>
      <w:r>
        <w:t xml:space="preserve"> Контроли для документов типа «СБО», «СДО», «ЗКР» заполняются исключительно пользователем с полно</w:t>
      </w:r>
      <w:r>
        <w:t xml:space="preserve">мочием «Ведение справочников ПУР по риск-ориентированному санкционированию».</w:t>
      </w:r>
      <w:r/>
    </w:p>
  </w:footnote>
  <w:footnote w:id="11">
    <w:p>
      <w:pPr>
        <w:rPr>
          <w:sz w:val="18"/>
        </w:rPr>
      </w:pPr>
      <w:r>
        <w:rPr>
          <w:vertAlign w:val="superscript"/>
        </w:rPr>
        <w:footnoteRef/>
      </w:r>
      <w:r>
        <w:rPr>
          <w:sz w:val="18"/>
        </w:rPr>
        <w:t xml:space="preserve">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w:t>
      </w:r>
      <w:r>
        <w:rPr>
          <w:sz w:val="18"/>
        </w:rPr>
        <w:t xml:space="preserve">ам Российской Федерации.</w:t>
      </w:r>
      <w:r>
        <w:rPr>
          <w:sz w:val="18"/>
        </w:rPr>
      </w:r>
      <w:r>
        <w:rPr>
          <w:sz w:val="18"/>
        </w:rPr>
      </w:r>
    </w:p>
  </w:footnote>
  <w:footnote w:id="12">
    <w:p>
      <w:pPr>
        <w:rPr>
          <w:sz w:val="18"/>
        </w:rPr>
        <w:pBdr>
          <w:top w:val="none" w:color="000000" w:sz="4" w:space="0"/>
          <w:left w:val="none" w:color="000000" w:sz="4" w:space="0"/>
          <w:bottom w:val="none" w:color="000000" w:sz="4" w:space="0"/>
          <w:right w:val="none" w:color="000000" w:sz="4" w:space="0"/>
          <w:between w:val="none" w:color="000000" w:sz="4" w:space="0"/>
        </w:pBdr>
      </w:pPr>
      <w:r>
        <w:rPr>
          <w:vertAlign w:val="superscript"/>
        </w:rPr>
        <w:footnoteRef/>
      </w:r>
      <w:r>
        <w:rPr>
          <w:color w:val="000000"/>
        </w:rPr>
        <w:t xml:space="preserve"> </w:t>
      </w:r>
      <w:r>
        <w:rPr>
          <w:sz w:val="18"/>
        </w:rPr>
        <w:t xml:space="preserve">Полномочие специалиста по ведению бухгалтерского учета по операциям бюджетов предоставляет доступ к действиям просмотра первичных документов, просмотра и переформирования записей учета по документам, формирования отчетности по ли</w:t>
      </w:r>
      <w:r>
        <w:rPr>
          <w:sz w:val="18"/>
        </w:rPr>
        <w:t xml:space="preserve">цевым счетам.</w:t>
      </w:r>
      <w:r>
        <w:rPr>
          <w:sz w:val="18"/>
        </w:rPr>
      </w:r>
      <w:r>
        <w:rPr>
          <w:sz w:val="18"/>
        </w:rPr>
      </w:r>
    </w:p>
  </w:footnote>
  <w:footnote w:id="13">
    <w:p>
      <w:pPr>
        <w:pStyle w:val="1440"/>
      </w:pPr>
      <w:r>
        <w:rPr>
          <w:rStyle w:val="1325"/>
        </w:rPr>
        <w:footnoteRef/>
      </w:r>
      <w:r>
        <w:t xml:space="preserve"> </w:t>
      </w:r>
      <w:r>
        <w:rPr>
          <w:sz w:val="18"/>
        </w:rPr>
        <w:t xml:space="preserve">Назначаются по специальным указаниям Центрального аппарата Федерального казначейства</w:t>
      </w:r>
      <w:r/>
    </w:p>
  </w:footnote>
  <w:footnote w:id="14">
    <w:p>
      <w:pPr>
        <w:pStyle w:val="1440"/>
      </w:pPr>
      <w:r>
        <w:rPr>
          <w:rStyle w:val="1325"/>
        </w:rPr>
        <w:footnoteRef/>
      </w:r>
      <w:r>
        <w:t xml:space="preserve"> Контроли для документов типа «СБО», «СДО», «ЗКР» заполняются исключительно пользователем с полномочием «Ведение справочников ПУР по риск-ориентированному</w:t>
      </w:r>
      <w:r>
        <w:t xml:space="preserve"> санкционированию».</w:t>
      </w:r>
      <w:r/>
    </w:p>
  </w:footnote>
  <w:footnote w:id="15">
    <w:p>
      <w:pPr>
        <w:pStyle w:val="1440"/>
        <w:rPr>
          <w:sz w:val="18"/>
        </w:rPr>
      </w:pPr>
      <w:r>
        <w:rPr>
          <w:rStyle w:val="1325"/>
        </w:rPr>
        <w:footnoteRef/>
      </w:r>
      <w:r>
        <w:t xml:space="preserve">При необходимости могут быть переданы уполномоченному ТОФК</w:t>
      </w:r>
      <w:r>
        <w:rPr>
          <w:sz w:val="18"/>
        </w:rPr>
        <w:t xml:space="preserve"> специальными указаниям Центрального аппарата Федерального казначейства</w:t>
      </w:r>
      <w:r>
        <w:rPr>
          <w:sz w:val="18"/>
        </w:rPr>
      </w:r>
      <w:r>
        <w:rPr>
          <w:sz w:val="18"/>
        </w:rPr>
      </w:r>
    </w:p>
  </w:footnote>
  <w:footnote w:id="16">
    <w:p>
      <w:pPr>
        <w:pStyle w:val="1440"/>
      </w:pPr>
      <w:r>
        <w:rPr>
          <w:rStyle w:val="1325"/>
        </w:rPr>
        <w:footnoteRef/>
      </w:r>
      <w:r>
        <w:t xml:space="preserve">ТОФК обеспечивает соответствие лиц, подписавших электронными подписями представленные в органы Федеральн</w:t>
      </w:r>
      <w:r>
        <w:t xml:space="preserve">ого казначейства платежные (расчетные) документы, лицам с правом первой и второй подписи, включенным в Карточку с соответствующими полномочиями. </w:t>
      </w:r>
      <w:r/>
    </w:p>
  </w:footnote>
  <w:footnote w:id="17">
    <w:p>
      <w:pPr>
        <w:pStyle w:val="1440"/>
      </w:pPr>
      <w:r>
        <w:rPr>
          <w:rStyle w:val="1325"/>
        </w:rPr>
        <w:t xml:space="preserve">*</w:t>
      </w:r>
      <w:r>
        <w:t xml:space="preserve"> </w:t>
      </w:r>
      <w:r>
        <w:rPr>
          <w:highlight w:val="yellow"/>
        </w:rPr>
        <w:t xml:space="preserve">Требует согласование оператором информационной системы в соответствии с Карточкой образцов подписей (КОП)</w:t>
      </w:r>
      <w:r>
        <w:rPr>
          <w:highlight w:val="yellow"/>
        </w:rPr>
        <w:t xml:space="preserve">.</w:t>
      </w:r>
      <w:r/>
    </w:p>
  </w:footnote>
  <w:footnote w:id="18">
    <w:p>
      <w:pPr>
        <w:pStyle w:val="1440"/>
        <w:ind w:firstLine="0"/>
      </w:pPr>
      <w:r/>
      <w:r/>
    </w:p>
  </w:footnote>
  <w:footnote w:id="19">
    <w:p>
      <w:pPr>
        <w:pStyle w:val="1440"/>
        <w:ind w:firstLine="0"/>
      </w:pPr>
      <w:r/>
      <w:r/>
    </w:p>
  </w:footnote>
  <w:footnote w:id="20">
    <w:p>
      <w:pPr>
        <w:pStyle w:val="1440"/>
      </w:pPr>
      <w:r>
        <w:rPr>
          <w:rStyle w:val="1325"/>
        </w:rPr>
        <w:t xml:space="preserve">*</w:t>
      </w:r>
      <w:r>
        <w:t xml:space="preserve"> </w:t>
      </w:r>
      <w:r>
        <w:rPr>
          <w:highlight w:val="yellow"/>
        </w:rPr>
        <w:t xml:space="preserve">Требует согласование оператором информационной системы в соответствии с Карточкой образцов подписей (КОП)</w:t>
      </w:r>
      <w:r>
        <w:rPr>
          <w:highlight w:val="yellow"/>
        </w:rPr>
        <w:t xml:space="preserve">.</w:t>
      </w:r>
      <w:r/>
    </w:p>
  </w:footnote>
  <w:footnote w:id="21">
    <w:p>
      <w:pPr>
        <w:rPr>
          <w:sz w:val="18"/>
        </w:rPr>
      </w:pPr>
      <w:r>
        <w:rPr>
          <w:vertAlign w:val="superscript"/>
        </w:rPr>
        <w:footnoteRef/>
      </w:r>
      <w:r>
        <w:rPr>
          <w:sz w:val="18"/>
        </w:rPr>
        <w:t xml:space="preserve">К территориальным органам Федерального казначейства относятся – Межрегиональное операционное управление Федер</w:t>
      </w:r>
      <w:r>
        <w:rPr>
          <w:sz w:val="18"/>
        </w:rPr>
        <w:t xml:space="preserve">ального казначейства, управления Федерального казначейства по субъектам Российской Федерации.</w:t>
      </w:r>
      <w:r>
        <w:rPr>
          <w:sz w:val="18"/>
        </w:rPr>
      </w:r>
      <w:r>
        <w:rPr>
          <w:sz w:val="18"/>
        </w:rPr>
      </w:r>
    </w:p>
  </w:footnote>
  <w:footnote w:id="22">
    <w:p>
      <w:pPr>
        <w:pStyle w:val="1440"/>
        <w:rPr>
          <w:color w:val="000000"/>
          <w:sz w:val="18"/>
          <w:szCs w:val="18"/>
          <w:highlight w:val="yellow"/>
        </w:rPr>
      </w:pPr>
      <w:r>
        <w:rPr>
          <w:rStyle w:val="1325"/>
        </w:rPr>
        <w:footnoteRef/>
      </w:r>
      <w:r>
        <w:rPr>
          <w:highlight w:val="yellow"/>
        </w:rPr>
        <w:t xml:space="preserve"> Для</w:t>
      </w:r>
      <w:r>
        <w:rPr>
          <w:color w:val="000000"/>
          <w:sz w:val="18"/>
          <w:szCs w:val="18"/>
          <w:highlight w:val="yellow"/>
        </w:rPr>
        <w:t xml:space="preserve"> федеральных бюджетных учреждений, федеральных автономных учреждений нормативно и участников казначейского сопровождения не предусмотрено ведение бюджетных и денежных обязательств, поэтому для прос</w:t>
      </w:r>
      <w:r>
        <w:rPr>
          <w:color w:val="000000"/>
          <w:sz w:val="18"/>
          <w:szCs w:val="18"/>
          <w:highlight w:val="yellow"/>
        </w:rPr>
        <w:t xml:space="preserve">мотра и ознакомления с уведомлениями по исполнительным документам и решениям налоговых органов в личном кабинете достаточно иметь роль БО.001 </w:t>
      </w:r>
      <w:r>
        <w:rPr>
          <w:color w:val="000000"/>
          <w:sz w:val="18"/>
          <w:szCs w:val="18"/>
          <w:highlight w:val="yellow"/>
        </w:rPr>
        <w:t xml:space="preserve">Клиент.Ввод</w:t>
      </w:r>
      <w:r>
        <w:rPr>
          <w:color w:val="000000"/>
          <w:sz w:val="18"/>
          <w:szCs w:val="18"/>
          <w:highlight w:val="yellow"/>
        </w:rPr>
        <w:t xml:space="preserve"> данных СБО (ПБС).</w:t>
      </w:r>
      <w:r>
        <w:rPr>
          <w:color w:val="000000"/>
          <w:sz w:val="18"/>
          <w:szCs w:val="18"/>
          <w:highlight w:val="yellow"/>
        </w:rPr>
      </w:r>
      <w:r>
        <w:rPr>
          <w:color w:val="000000"/>
          <w:sz w:val="18"/>
          <w:szCs w:val="18"/>
          <w:highlight w:val="yellow"/>
        </w:rPr>
      </w:r>
    </w:p>
  </w:footnote>
  <w:footnote w:id="23">
    <w:p>
      <w:pPr>
        <w:pStyle w:val="1440"/>
      </w:pPr>
      <w:r>
        <w:rPr>
          <w:rStyle w:val="1325"/>
        </w:rPr>
        <w:t xml:space="preserve">*</w:t>
      </w:r>
      <w:r>
        <w:t xml:space="preserve"> </w:t>
      </w:r>
      <w:r>
        <w:rPr>
          <w:highlight w:val="yellow"/>
        </w:rPr>
        <w:t xml:space="preserve">Т</w:t>
      </w:r>
      <w:r>
        <w:rPr>
          <w:highlight w:val="yellow"/>
        </w:rPr>
        <w:t xml:space="preserve">р</w:t>
      </w:r>
      <w:r>
        <w:rPr>
          <w:highlight w:val="yellow"/>
        </w:rPr>
        <w:t xml:space="preserve">еб</w:t>
      </w:r>
      <w:r>
        <w:rPr>
          <w:highlight w:val="yellow"/>
        </w:rPr>
        <w:t xml:space="preserve">ует согласование оператором информационной системы в соответствии с Карточкой образцов подписей (КОП)</w:t>
      </w:r>
      <w:r>
        <w:rPr>
          <w:highlight w:val="yellow"/>
        </w:rPr>
        <w:t xml:space="preserve">.</w:t>
      </w:r>
      <w:r/>
    </w:p>
  </w:footnote>
  <w:footnote w:id="24">
    <w:p>
      <w:pPr>
        <w:rPr>
          <w:sz w:val="18"/>
        </w:rPr>
      </w:pPr>
      <w:r>
        <w:rPr>
          <w:vertAlign w:val="superscript"/>
        </w:rPr>
        <w:footnoteRef/>
      </w:r>
      <w:r>
        <w:rPr>
          <w:sz w:val="18"/>
        </w:rPr>
        <w:t xml:space="preserve">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r>
        <w:rPr>
          <w:sz w:val="18"/>
        </w:rPr>
      </w:r>
      <w:r>
        <w:rPr>
          <w:sz w:val="18"/>
        </w:rPr>
      </w:r>
    </w:p>
  </w:footnote>
  <w:footnote w:id="25">
    <w:p>
      <w:pPr>
        <w:pStyle w:val="1440"/>
        <w:rPr>
          <w:sz w:val="18"/>
        </w:rPr>
      </w:pPr>
      <w:r>
        <w:rPr>
          <w:rStyle w:val="1325"/>
        </w:rPr>
        <w:footnoteRef/>
      </w:r>
      <w:r>
        <w:t xml:space="preserve"> </w:t>
      </w:r>
      <w:r>
        <w:rPr>
          <w:sz w:val="18"/>
        </w:rPr>
        <w:t xml:space="preserve">Ролью наделяется структурное подразделение Юридичес</w:t>
      </w:r>
      <w:r>
        <w:rPr>
          <w:sz w:val="18"/>
        </w:rPr>
        <w:t xml:space="preserve">кого управления ФК, ответственное за ведение справочников /уполномоченный на ведение справочников ТОФК (по решению ФК функция может быть передана уполномоченному ТОФК).</w:t>
      </w:r>
      <w:r>
        <w:rPr>
          <w:sz w:val="18"/>
        </w:rPr>
      </w:r>
      <w:r>
        <w:rPr>
          <w:sz w:val="18"/>
        </w:rPr>
      </w:r>
    </w:p>
  </w:footnote>
  <w:footnote w:id="26">
    <w:p>
      <w:pPr>
        <w:pStyle w:val="1440"/>
        <w:rPr>
          <w:sz w:val="18"/>
          <w:highlight w:val="white"/>
        </w:rPr>
      </w:pPr>
      <w:r>
        <w:rPr>
          <w:rStyle w:val="1325"/>
          <w:highlight w:val="white"/>
        </w:rPr>
        <w:footnoteRef/>
      </w:r>
      <w:r>
        <w:rPr>
          <w:highlight w:val="white"/>
        </w:rPr>
        <w:t xml:space="preserve"> </w:t>
      </w:r>
      <w:r>
        <w:rPr>
          <w:sz w:val="18"/>
          <w:highlight w:val="white"/>
        </w:rPr>
        <w:t xml:space="preserve">Назначаются  после того, как </w:t>
      </w:r>
      <w:r>
        <w:rPr>
          <w:sz w:val="18"/>
          <w:highlight w:val="white"/>
        </w:rPr>
        <w:t xml:space="preserve">учёт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переведён в подсистему управления ра</w:t>
      </w:r>
      <w:r>
        <w:rPr>
          <w:sz w:val="18"/>
          <w:highlight w:val="white"/>
        </w:rPr>
        <w:t xml:space="preserve">сходами государственной интегрированной информационной системы управления общественными финансами «Электронный бюджет». </w:t>
      </w:r>
      <w:r>
        <w:rPr>
          <w:sz w:val="18"/>
          <w:highlight w:val="white"/>
        </w:rPr>
      </w:r>
      <w:r>
        <w:rPr>
          <w:sz w:val="18"/>
          <w:highlight w:val="white"/>
        </w:rPr>
      </w:r>
    </w:p>
    <w:p>
      <w:pPr>
        <w:pStyle w:val="1440"/>
        <w:rPr>
          <w:color w:val="000000" w:themeColor="text1"/>
          <w:sz w:val="18"/>
          <w:szCs w:val="18"/>
          <w:highlight w:val="white"/>
        </w:rPr>
      </w:pPr>
      <w:r>
        <w:rPr>
          <w:color w:val="000000" w:themeColor="text1"/>
          <w:highlight w:val="white"/>
        </w:rPr>
      </w:r>
      <w:bookmarkStart w:id="3" w:name="_GoBack"/>
      <w:r>
        <w:rPr>
          <w:color w:val="000000" w:themeColor="text1"/>
          <w:highlight w:val="white"/>
        </w:rPr>
      </w:r>
      <w:bookmarkEnd w:id="3"/>
      <w:r>
        <w:rPr>
          <w:color w:val="000000" w:themeColor="text1"/>
          <w:sz w:val="18"/>
          <w:highlight w:val="white"/>
        </w:rPr>
        <w:t xml:space="preserve">Роль выдается по необходимости </w:t>
      </w:r>
      <w:r>
        <w:rPr>
          <w:color w:val="000000" w:themeColor="text1"/>
          <w:sz w:val="18"/>
          <w:highlight w:val="white"/>
        </w:rPr>
        <w:t xml:space="preserve">сотрудникам профильных отделов по работе с ИДиРНО, а также сотрудникам ОТО/ОИС</w:t>
      </w:r>
      <w:r>
        <w:rPr>
          <w:color w:val="000000" w:themeColor="text1"/>
          <w:sz w:val="18"/>
          <w:szCs w:val="18"/>
          <w:highlight w:val="white"/>
        </w:rPr>
        <w:t xml:space="preserve">.</w:t>
      </w:r>
      <w:r>
        <w:rPr>
          <w:color w:val="000000" w:themeColor="text1"/>
          <w:sz w:val="18"/>
          <w:szCs w:val="18"/>
          <w:highlight w:val="white"/>
        </w:rPr>
      </w:r>
      <w:r>
        <w:rPr>
          <w:color w:val="000000" w:themeColor="text1"/>
          <w:sz w:val="18"/>
          <w:szCs w:val="18"/>
          <w:highlight w:val="white"/>
        </w:rPr>
      </w:r>
    </w:p>
  </w:footnote>
  <w:footnote w:id="27">
    <w:p>
      <w:pPr>
        <w:pStyle w:val="1440"/>
        <w:rPr>
          <w:sz w:val="18"/>
        </w:rPr>
      </w:pPr>
      <w:r>
        <w:rPr>
          <w:rStyle w:val="1325"/>
        </w:rPr>
        <w:footnoteRef/>
      </w:r>
      <w:r>
        <w:t xml:space="preserve"> </w:t>
      </w:r>
      <w:r>
        <w:rPr>
          <w:sz w:val="18"/>
        </w:rPr>
        <w:t xml:space="preserve">Назначается специалистам ФК, либо ТОФК, уполномоченного на формирование отчетности в соответствии в Приказом Минфина России № 243н по всем ТОФК.</w:t>
      </w:r>
      <w:r>
        <w:rPr>
          <w:sz w:val="18"/>
        </w:rPr>
      </w:r>
      <w:r>
        <w:rPr>
          <w:sz w:val="18"/>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74391555"/>
      <w:docPartObj>
        <w:docPartGallery w:val="Page Numbers (Top of Page)"/>
        <w:docPartUnique w:val="true"/>
      </w:docPartObj>
      <w:rPr/>
    </w:sdtPr>
    <w:sdtContent>
      <w:p>
        <w:pPr>
          <w:pStyle w:val="1308"/>
          <w:jc w:val="center"/>
        </w:pPr>
        <w:r>
          <w:fldChar w:fldCharType="begin"/>
        </w:r>
        <w:r>
          <w:instrText xml:space="preserve">PAGE   \* MERGEFORMAT</w:instrText>
        </w:r>
        <w:r>
          <w:fldChar w:fldCharType="separate"/>
        </w:r>
        <w:r>
          <w:t xml:space="preserve">9</w:t>
        </w:r>
        <w:r>
          <w:fldChar w:fldCharType="end"/>
        </w:r>
        <w:r/>
      </w:p>
    </w:sdtContent>
  </w:sdt>
  <w:p>
    <w:pPr>
      <w:jc w:val="right"/>
      <w:tabs>
        <w:tab w:val="center" w:pos="4677" w:leader="none"/>
        <w:tab w:val="right" w:pos="9355" w:leader="none"/>
      </w:tabs>
      <w:rPr>
        <w:color w:val="000000"/>
      </w:rPr>
      <w:pBdr>
        <w:top w:val="none" w:color="000000" w:sz="4" w:space="0"/>
        <w:left w:val="none" w:color="000000" w:sz="4" w:space="0"/>
        <w:bottom w:val="none" w:color="000000" w:sz="4" w:space="0"/>
        <w:right w:val="none" w:color="000000" w:sz="4" w:space="0"/>
        <w:between w:val="none" w:color="000000" w:sz="4" w:space="0"/>
      </w:pBdr>
    </w:pPr>
    <w:r>
      <w:rPr>
        <w:color w:val="000000"/>
      </w:rPr>
    </w:r>
    <w:r>
      <w:rPr>
        <w:color w:val="000000"/>
      </w:rPr>
    </w:r>
    <w:r>
      <w:rPr>
        <w:color w:val="000000"/>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794945036"/>
      <w:docPartObj>
        <w:docPartGallery w:val="Page Numbers (Top of Page)"/>
        <w:docPartUnique w:val="true"/>
      </w:docPartObj>
      <w:rPr/>
    </w:sdtPr>
    <w:sdtContent>
      <w:p>
        <w:pPr>
          <w:ind w:left="5103" w:firstLine="0"/>
          <w:jc w:val="center"/>
          <w:spacing w:line="276" w:lineRule="auto"/>
          <w:widowControl w:val="off"/>
          <w:rPr>
            <w:color w:val="000000"/>
            <w:sz w:val="28"/>
            <w:szCs w:val="28"/>
          </w:rPr>
          <w:pBdr>
            <w:top w:val="none" w:color="000000" w:sz="4" w:space="0"/>
            <w:left w:val="none" w:color="000000" w:sz="4" w:space="0"/>
            <w:bottom w:val="none" w:color="000000" w:sz="4" w:space="0"/>
            <w:right w:val="none" w:color="000000" w:sz="4" w:space="0"/>
            <w:between w:val="none" w:color="000000" w:sz="4" w:space="0"/>
          </w:pBdr>
        </w:pPr>
        <w:r>
          <w:rPr>
            <w:color w:val="000000"/>
            <w:sz w:val="28"/>
            <w:szCs w:val="28"/>
          </w:rPr>
          <w:t xml:space="preserve">Приложение № 9 к Единой заявке:</w:t>
        </w:r>
        <w:r>
          <w:rPr>
            <w:color w:val="000000"/>
            <w:sz w:val="28"/>
            <w:szCs w:val="28"/>
          </w:rPr>
        </w:r>
        <w:r>
          <w:rPr>
            <w:color w:val="000000"/>
            <w:sz w:val="28"/>
            <w:szCs w:val="28"/>
          </w:rPr>
        </w:r>
      </w:p>
      <w:p>
        <w:pPr>
          <w:ind w:left="5387" w:firstLine="0"/>
          <w:jc w:val="center"/>
          <w:spacing w:line="276" w:lineRule="auto"/>
          <w:widowControl w:val="off"/>
          <w:rPr>
            <w:color w:val="000000"/>
            <w:sz w:val="28"/>
            <w:szCs w:val="28"/>
          </w:rPr>
          <w:pBdr>
            <w:top w:val="none" w:color="000000" w:sz="4" w:space="0"/>
            <w:left w:val="none" w:color="000000" w:sz="4" w:space="0"/>
            <w:bottom w:val="none" w:color="000000" w:sz="4" w:space="0"/>
            <w:right w:val="none" w:color="000000" w:sz="4" w:space="0"/>
            <w:between w:val="none" w:color="000000" w:sz="4" w:space="0"/>
          </w:pBdr>
        </w:pPr>
        <w:r>
          <w:rPr>
            <w:color w:val="000000"/>
            <w:sz w:val="28"/>
            <w:szCs w:val="28"/>
          </w:rPr>
          <w:t xml:space="preserve">ПУР</w:t>
        </w:r>
        <w:r>
          <w:rPr>
            <w:color w:val="000000"/>
            <w:sz w:val="28"/>
            <w:szCs w:val="28"/>
          </w:rPr>
        </w:r>
        <w:r>
          <w:rPr>
            <w:color w:val="000000"/>
            <w:sz w:val="28"/>
            <w:szCs w:val="28"/>
          </w:rPr>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1248"/>
      <w:isLgl w:val="false"/>
      <w:suff w:val="tab"/>
      <w:lvlText w:val="%1."/>
      <w:lvlJc w:val="left"/>
      <w:pPr>
        <w:ind w:left="643" w:hanging="360"/>
      </w:pPr>
    </w:lvl>
    <w:lvl w:ilvl="1">
      <w:start w:val="1"/>
      <w:numFmt w:val="lowerLetter"/>
      <w:isLgl w:val="false"/>
      <w:suff w:val="tab"/>
      <w:lvlText w:val="%2."/>
      <w:lvlJc w:val="left"/>
      <w:pPr>
        <w:ind w:left="1667" w:hanging="360"/>
      </w:pPr>
    </w:lvl>
    <w:lvl w:ilvl="2">
      <w:start w:val="1"/>
      <w:numFmt w:val="lowerRoman"/>
      <w:isLgl w:val="false"/>
      <w:suff w:val="tab"/>
      <w:lvlText w:val="%3."/>
      <w:lvlJc w:val="right"/>
      <w:pPr>
        <w:ind w:left="2387" w:hanging="180"/>
      </w:pPr>
    </w:lvl>
    <w:lvl w:ilvl="3">
      <w:start w:val="1"/>
      <w:numFmt w:val="decimal"/>
      <w:isLgl w:val="false"/>
      <w:suff w:val="tab"/>
      <w:lvlText w:val="%4."/>
      <w:lvlJc w:val="left"/>
      <w:pPr>
        <w:ind w:left="3107" w:hanging="360"/>
      </w:pPr>
    </w:lvl>
    <w:lvl w:ilvl="4">
      <w:start w:val="1"/>
      <w:numFmt w:val="lowerLetter"/>
      <w:isLgl w:val="false"/>
      <w:suff w:val="tab"/>
      <w:lvlText w:val="%5."/>
      <w:lvlJc w:val="left"/>
      <w:pPr>
        <w:ind w:left="3827" w:hanging="360"/>
      </w:pPr>
    </w:lvl>
    <w:lvl w:ilvl="5">
      <w:start w:val="1"/>
      <w:numFmt w:val="lowerRoman"/>
      <w:isLgl w:val="false"/>
      <w:suff w:val="tab"/>
      <w:lvlText w:val="%6."/>
      <w:lvlJc w:val="right"/>
      <w:pPr>
        <w:ind w:left="4547" w:hanging="180"/>
      </w:pPr>
    </w:lvl>
    <w:lvl w:ilvl="6">
      <w:start w:val="1"/>
      <w:numFmt w:val="decimal"/>
      <w:isLgl w:val="false"/>
      <w:suff w:val="tab"/>
      <w:lvlText w:val="%7."/>
      <w:lvlJc w:val="left"/>
      <w:pPr>
        <w:ind w:left="5267" w:hanging="360"/>
      </w:pPr>
    </w:lvl>
    <w:lvl w:ilvl="7">
      <w:start w:val="1"/>
      <w:numFmt w:val="lowerLetter"/>
      <w:isLgl w:val="false"/>
      <w:suff w:val="tab"/>
      <w:lvlText w:val="%8."/>
      <w:lvlJc w:val="left"/>
      <w:pPr>
        <w:ind w:left="5987" w:hanging="360"/>
      </w:pPr>
    </w:lvl>
    <w:lvl w:ilvl="8">
      <w:start w:val="1"/>
      <w:numFmt w:val="lowerRoman"/>
      <w:isLgl w:val="false"/>
      <w:suff w:val="tab"/>
      <w:lvlText w:val="%9."/>
      <w:lvlJc w:val="right"/>
      <w:pPr>
        <w:ind w:left="6707" w:hanging="180"/>
      </w:pPr>
    </w:lvl>
  </w:abstractNum>
  <w:abstractNum w:abstractNumId="1">
    <w:multiLevelType w:val="hybridMultilevel"/>
    <w:lvl w:ilvl="0">
      <w:start w:val="1"/>
      <w:numFmt w:val="decimal"/>
      <w:pStyle w:val="1073"/>
      <w:isLgl w:val="false"/>
      <w:suff w:val="tab"/>
      <w:lvlText w:val="%1."/>
      <w:lvlJc w:val="left"/>
      <w:pPr>
        <w:ind w:left="720" w:hanging="720"/>
        <w:tabs>
          <w:tab w:val="num" w:pos="720" w:leader="none"/>
        </w:tabs>
      </w:pPr>
    </w:lvl>
    <w:lvl w:ilvl="1">
      <w:start w:val="1"/>
      <w:numFmt w:val="decimal"/>
      <w:pStyle w:val="1074"/>
      <w:isLgl w:val="false"/>
      <w:suff w:val="tab"/>
      <w:lvlText w:val="%2."/>
      <w:lvlJc w:val="left"/>
      <w:pPr>
        <w:ind w:left="1440" w:hanging="720"/>
        <w:tabs>
          <w:tab w:val="num" w:pos="1440" w:leader="none"/>
        </w:tabs>
      </w:pPr>
    </w:lvl>
    <w:lvl w:ilvl="2">
      <w:start w:val="1"/>
      <w:numFmt w:val="decimal"/>
      <w:pStyle w:val="1075"/>
      <w:isLgl w:val="false"/>
      <w:suff w:val="tab"/>
      <w:lvlText w:val="%3."/>
      <w:lvlJc w:val="left"/>
      <w:pPr>
        <w:ind w:left="2160" w:hanging="720"/>
        <w:tabs>
          <w:tab w:val="num" w:pos="2160" w:leader="none"/>
        </w:tabs>
      </w:pPr>
    </w:lvl>
    <w:lvl w:ilvl="3">
      <w:start w:val="1"/>
      <w:numFmt w:val="decimal"/>
      <w:pStyle w:val="1076"/>
      <w:isLgl w:val="false"/>
      <w:suff w:val="tab"/>
      <w:lvlText w:val="%4."/>
      <w:lvlJc w:val="left"/>
      <w:pPr>
        <w:ind w:left="2880" w:hanging="720"/>
        <w:tabs>
          <w:tab w:val="num" w:pos="2880" w:leader="none"/>
        </w:tabs>
      </w:pPr>
    </w:lvl>
    <w:lvl w:ilvl="4">
      <w:start w:val="1"/>
      <w:numFmt w:val="decimal"/>
      <w:pStyle w:val="1077"/>
      <w:isLgl w:val="false"/>
      <w:suff w:val="tab"/>
      <w:lvlText w:val="%5."/>
      <w:lvlJc w:val="left"/>
      <w:pPr>
        <w:ind w:left="3600" w:hanging="720"/>
        <w:tabs>
          <w:tab w:val="num" w:pos="3600" w:leader="none"/>
        </w:tabs>
      </w:pPr>
    </w:lvl>
    <w:lvl w:ilvl="5">
      <w:start w:val="1"/>
      <w:numFmt w:val="decimal"/>
      <w:pStyle w:val="1078"/>
      <w:isLgl w:val="false"/>
      <w:suff w:val="tab"/>
      <w:lvlText w:val="%6."/>
      <w:lvlJc w:val="left"/>
      <w:pPr>
        <w:ind w:left="4320" w:hanging="720"/>
        <w:tabs>
          <w:tab w:val="num" w:pos="4320" w:leader="none"/>
        </w:tabs>
      </w:pPr>
    </w:lvl>
    <w:lvl w:ilvl="6">
      <w:start w:val="1"/>
      <w:numFmt w:val="decimal"/>
      <w:pStyle w:val="1079"/>
      <w:isLgl w:val="false"/>
      <w:suff w:val="tab"/>
      <w:lvlText w:val="%7."/>
      <w:lvlJc w:val="left"/>
      <w:pPr>
        <w:ind w:left="5040" w:hanging="720"/>
        <w:tabs>
          <w:tab w:val="num" w:pos="5040" w:leader="none"/>
        </w:tabs>
      </w:pPr>
    </w:lvl>
    <w:lvl w:ilvl="7">
      <w:start w:val="1"/>
      <w:numFmt w:val="decimal"/>
      <w:pStyle w:val="1080"/>
      <w:isLgl w:val="false"/>
      <w:suff w:val="tab"/>
      <w:lvlText w:val="%8."/>
      <w:lvlJc w:val="left"/>
      <w:pPr>
        <w:ind w:left="5760" w:hanging="720"/>
        <w:tabs>
          <w:tab w:val="num" w:pos="5760" w:leader="none"/>
        </w:tabs>
      </w:pPr>
    </w:lvl>
    <w:lvl w:ilvl="8">
      <w:start w:val="1"/>
      <w:numFmt w:val="decimal"/>
      <w:pStyle w:val="1081"/>
      <w:isLgl w:val="false"/>
      <w:suff w:val="tab"/>
      <w:lvlText w:val="%9."/>
      <w:lvlJc w:val="left"/>
      <w:pPr>
        <w:ind w:left="6480" w:hanging="720"/>
        <w:tabs>
          <w:tab w:val="num" w:pos="6480" w:leader="none"/>
        </w:tabs>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lang w:val="ru-RU" w:eastAsia="ru-RU" w:bidi="ar-SA"/>
      </w:rPr>
    </w:rPrDefault>
    <w:pPrDefault>
      <w:pPr>
        <w:ind w:left="0" w:right="0"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072" w:default="1">
    <w:name w:val="Normal"/>
    <w:qFormat/>
    <w:rPr>
      <w:sz w:val="20"/>
      <w:szCs w:val="20"/>
    </w:rPr>
  </w:style>
  <w:style w:type="paragraph" w:styleId="1073">
    <w:name w:val="Heading 1"/>
    <w:next w:val="1267"/>
    <w:link w:val="1095"/>
    <w:qFormat/>
    <w:pPr>
      <w:numPr>
        <w:ilvl w:val="0"/>
        <w:numId w:val="2"/>
      </w:numPr>
      <w:contextualSpacing/>
      <w:jc w:val="center"/>
      <w:keepNext/>
      <w:pageBreakBefore/>
      <w:spacing w:before="240" w:after="360"/>
      <w:outlineLvl w:val="0"/>
    </w:pPr>
    <w:rPr>
      <w:b/>
      <w:caps/>
      <w:sz w:val="32"/>
      <w:szCs w:val="36"/>
    </w:rPr>
  </w:style>
  <w:style w:type="paragraph" w:styleId="1074">
    <w:name w:val="Heading 2"/>
    <w:basedOn w:val="1073"/>
    <w:next w:val="1267"/>
    <w:link w:val="1096"/>
    <w:qFormat/>
    <w:pPr>
      <w:numPr>
        <w:ilvl w:val="1"/>
      </w:numPr>
      <w:jc w:val="left"/>
      <w:pageBreakBefore w:val="0"/>
      <w:spacing w:after="240"/>
      <w:outlineLvl w:val="1"/>
    </w:pPr>
    <w:rPr>
      <w:rFonts w:cs="Arial"/>
      <w:bCs/>
      <w:iCs/>
      <w:caps w:val="0"/>
      <w:szCs w:val="32"/>
    </w:rPr>
  </w:style>
  <w:style w:type="paragraph" w:styleId="1075">
    <w:name w:val="Heading 3"/>
    <w:basedOn w:val="1074"/>
    <w:next w:val="1267"/>
    <w:link w:val="1097"/>
    <w:qFormat/>
    <w:pPr>
      <w:numPr>
        <w:ilvl w:val="2"/>
      </w:numPr>
      <w:keepLines/>
      <w:outlineLvl w:val="2"/>
    </w:pPr>
    <w:rPr>
      <w:bCs w:val="0"/>
      <w:sz w:val="26"/>
      <w:szCs w:val="26"/>
    </w:rPr>
  </w:style>
  <w:style w:type="paragraph" w:styleId="1076">
    <w:name w:val="Heading 4"/>
    <w:basedOn w:val="1075"/>
    <w:next w:val="1267"/>
    <w:link w:val="1098"/>
    <w:qFormat/>
    <w:pPr>
      <w:numPr>
        <w:ilvl w:val="3"/>
      </w:numPr>
      <w:outlineLvl w:val="3"/>
    </w:pPr>
    <w:rPr>
      <w:sz w:val="24"/>
    </w:rPr>
  </w:style>
  <w:style w:type="paragraph" w:styleId="1077">
    <w:name w:val="Heading 5"/>
    <w:basedOn w:val="1076"/>
    <w:next w:val="1267"/>
    <w:link w:val="1099"/>
    <w:qFormat/>
    <w:pPr>
      <w:numPr>
        <w:ilvl w:val="4"/>
      </w:numPr>
      <w:spacing w:after="120"/>
      <w:tabs>
        <w:tab w:val="left" w:pos="1276" w:leader="none"/>
      </w:tabs>
      <w:outlineLvl w:val="4"/>
    </w:pPr>
    <w:rPr>
      <w:rFonts w:cs="Times New Roman"/>
      <w:bCs/>
      <w:iCs w:val="0"/>
      <w:lang w:eastAsia="ko-KR"/>
    </w:rPr>
  </w:style>
  <w:style w:type="paragraph" w:styleId="1078">
    <w:name w:val="Heading 6"/>
    <w:basedOn w:val="1072"/>
    <w:next w:val="1072"/>
    <w:link w:val="1100"/>
    <w:qFormat/>
    <w:pPr>
      <w:numPr>
        <w:ilvl w:val="5"/>
        <w:numId w:val="2"/>
      </w:numPr>
      <w:jc w:val="left"/>
      <w:spacing w:before="240" w:after="60" w:line="360" w:lineRule="auto"/>
      <w:outlineLvl w:val="5"/>
    </w:pPr>
    <w:rPr>
      <w:b/>
      <w:bCs/>
      <w:i/>
      <w:sz w:val="22"/>
      <w:szCs w:val="22"/>
    </w:rPr>
  </w:style>
  <w:style w:type="paragraph" w:styleId="1079">
    <w:name w:val="Heading 7"/>
    <w:basedOn w:val="1072"/>
    <w:next w:val="1072"/>
    <w:link w:val="1319"/>
    <w:qFormat/>
    <w:pPr>
      <w:numPr>
        <w:ilvl w:val="6"/>
        <w:numId w:val="2"/>
      </w:numPr>
      <w:spacing w:before="240" w:after="60"/>
      <w:outlineLvl w:val="6"/>
    </w:pPr>
  </w:style>
  <w:style w:type="paragraph" w:styleId="1080">
    <w:name w:val="Heading 8"/>
    <w:basedOn w:val="1072"/>
    <w:next w:val="1072"/>
    <w:link w:val="1320"/>
    <w:qFormat/>
    <w:pPr>
      <w:numPr>
        <w:ilvl w:val="7"/>
        <w:numId w:val="2"/>
      </w:numPr>
      <w:spacing w:before="240" w:after="60"/>
      <w:outlineLvl w:val="7"/>
    </w:pPr>
    <w:rPr>
      <w:i/>
      <w:iCs/>
    </w:rPr>
  </w:style>
  <w:style w:type="paragraph" w:styleId="1081">
    <w:name w:val="Heading 9"/>
    <w:basedOn w:val="1072"/>
    <w:next w:val="1072"/>
    <w:link w:val="1321"/>
    <w:qFormat/>
    <w:pPr>
      <w:numPr>
        <w:ilvl w:val="8"/>
        <w:numId w:val="3"/>
      </w:numPr>
      <w:spacing w:before="240" w:after="60"/>
      <w:outlineLvl w:val="8"/>
    </w:pPr>
    <w:rPr>
      <w:rFonts w:ascii="Arial" w:hAnsi="Arial"/>
      <w:sz w:val="22"/>
      <w:szCs w:val="22"/>
    </w:rPr>
  </w:style>
  <w:style w:type="character" w:styleId="1082" w:default="1">
    <w:name w:val="Default Paragraph Font"/>
    <w:uiPriority w:val="1"/>
    <w:semiHidden/>
    <w:unhideWhenUsed/>
  </w:style>
  <w:style w:type="table" w:styleId="1083" w:default="1">
    <w:name w:val="Normal Table"/>
    <w:uiPriority w:val="99"/>
    <w:semiHidden/>
    <w:unhideWhenUsed/>
    <w:tblPr>
      <w:tblInd w:w="0" w:type="dxa"/>
      <w:tblCellMar>
        <w:left w:w="108" w:type="dxa"/>
        <w:top w:w="0" w:type="dxa"/>
        <w:right w:w="108" w:type="dxa"/>
        <w:bottom w:w="0" w:type="dxa"/>
      </w:tblCellMar>
    </w:tblPr>
  </w:style>
  <w:style w:type="numbering" w:styleId="1084" w:default="1">
    <w:name w:val="No List"/>
    <w:uiPriority w:val="99"/>
    <w:semiHidden/>
    <w:unhideWhenUsed/>
  </w:style>
  <w:style w:type="character" w:styleId="1085" w:customStyle="1">
    <w:name w:val="Heading 1 Char"/>
    <w:basedOn w:val="1082"/>
    <w:uiPriority w:val="9"/>
    <w:rPr>
      <w:rFonts w:ascii="Arial" w:hAnsi="Arial" w:eastAsia="Arial" w:cs="Arial"/>
      <w:sz w:val="40"/>
      <w:szCs w:val="40"/>
    </w:rPr>
  </w:style>
  <w:style w:type="character" w:styleId="1086" w:customStyle="1">
    <w:name w:val="Heading 2 Char"/>
    <w:basedOn w:val="1082"/>
    <w:uiPriority w:val="9"/>
    <w:rPr>
      <w:rFonts w:ascii="Arial" w:hAnsi="Arial" w:eastAsia="Arial" w:cs="Arial"/>
      <w:sz w:val="34"/>
    </w:rPr>
  </w:style>
  <w:style w:type="character" w:styleId="1087" w:customStyle="1">
    <w:name w:val="Heading 3 Char"/>
    <w:basedOn w:val="1082"/>
    <w:uiPriority w:val="9"/>
    <w:rPr>
      <w:rFonts w:ascii="Arial" w:hAnsi="Arial" w:eastAsia="Arial" w:cs="Arial"/>
      <w:sz w:val="30"/>
      <w:szCs w:val="30"/>
    </w:rPr>
  </w:style>
  <w:style w:type="character" w:styleId="1088" w:customStyle="1">
    <w:name w:val="Heading 4 Char"/>
    <w:basedOn w:val="1082"/>
    <w:uiPriority w:val="9"/>
    <w:rPr>
      <w:rFonts w:ascii="Arial" w:hAnsi="Arial" w:eastAsia="Arial" w:cs="Arial"/>
      <w:b/>
      <w:bCs/>
      <w:sz w:val="26"/>
      <w:szCs w:val="26"/>
    </w:rPr>
  </w:style>
  <w:style w:type="character" w:styleId="1089" w:customStyle="1">
    <w:name w:val="Heading 5 Char"/>
    <w:basedOn w:val="1082"/>
    <w:uiPriority w:val="9"/>
    <w:rPr>
      <w:rFonts w:ascii="Arial" w:hAnsi="Arial" w:eastAsia="Arial" w:cs="Arial"/>
      <w:b/>
      <w:bCs/>
      <w:sz w:val="24"/>
      <w:szCs w:val="24"/>
    </w:rPr>
  </w:style>
  <w:style w:type="character" w:styleId="1090" w:customStyle="1">
    <w:name w:val="Heading 6 Char"/>
    <w:basedOn w:val="1082"/>
    <w:uiPriority w:val="9"/>
    <w:rPr>
      <w:rFonts w:ascii="Arial" w:hAnsi="Arial" w:eastAsia="Arial" w:cs="Arial"/>
      <w:b/>
      <w:bCs/>
      <w:sz w:val="22"/>
      <w:szCs w:val="22"/>
    </w:rPr>
  </w:style>
  <w:style w:type="character" w:styleId="1091" w:customStyle="1">
    <w:name w:val="Title Char"/>
    <w:basedOn w:val="1082"/>
    <w:uiPriority w:val="10"/>
    <w:rPr>
      <w:sz w:val="48"/>
      <w:szCs w:val="48"/>
    </w:rPr>
  </w:style>
  <w:style w:type="character" w:styleId="1092" w:customStyle="1">
    <w:name w:val="Subtitle Char"/>
    <w:basedOn w:val="1082"/>
    <w:uiPriority w:val="11"/>
    <w:rPr>
      <w:sz w:val="24"/>
      <w:szCs w:val="24"/>
    </w:rPr>
  </w:style>
  <w:style w:type="character" w:styleId="1093" w:customStyle="1">
    <w:name w:val="Quote Char"/>
    <w:uiPriority w:val="29"/>
    <w:rPr>
      <w:i/>
    </w:rPr>
  </w:style>
  <w:style w:type="character" w:styleId="1094" w:customStyle="1">
    <w:name w:val="Intense Quote Char"/>
    <w:uiPriority w:val="30"/>
    <w:rPr>
      <w:i/>
    </w:rPr>
  </w:style>
  <w:style w:type="character" w:styleId="1095" w:customStyle="1">
    <w:name w:val="Заголовок 1 Знак"/>
    <w:basedOn w:val="1082"/>
    <w:link w:val="1073"/>
    <w:uiPriority w:val="9"/>
    <w:rPr>
      <w:rFonts w:ascii="Arial" w:hAnsi="Arial" w:eastAsia="Arial" w:cs="Arial"/>
      <w:sz w:val="40"/>
      <w:szCs w:val="40"/>
    </w:rPr>
  </w:style>
  <w:style w:type="character" w:styleId="1096" w:customStyle="1">
    <w:name w:val="Заголовок 2 Знак"/>
    <w:basedOn w:val="1082"/>
    <w:link w:val="1074"/>
    <w:uiPriority w:val="9"/>
    <w:rPr>
      <w:rFonts w:ascii="Arial" w:hAnsi="Arial" w:eastAsia="Arial" w:cs="Arial"/>
      <w:sz w:val="34"/>
    </w:rPr>
  </w:style>
  <w:style w:type="character" w:styleId="1097" w:customStyle="1">
    <w:name w:val="Заголовок 3 Знак"/>
    <w:basedOn w:val="1082"/>
    <w:link w:val="1075"/>
    <w:uiPriority w:val="9"/>
    <w:rPr>
      <w:rFonts w:ascii="Arial" w:hAnsi="Arial" w:eastAsia="Arial" w:cs="Arial"/>
      <w:sz w:val="30"/>
      <w:szCs w:val="30"/>
    </w:rPr>
  </w:style>
  <w:style w:type="character" w:styleId="1098" w:customStyle="1">
    <w:name w:val="Заголовок 4 Знак"/>
    <w:basedOn w:val="1082"/>
    <w:link w:val="1076"/>
    <w:uiPriority w:val="9"/>
    <w:rPr>
      <w:rFonts w:ascii="Arial" w:hAnsi="Arial" w:eastAsia="Arial" w:cs="Arial"/>
      <w:b/>
      <w:bCs/>
      <w:sz w:val="26"/>
      <w:szCs w:val="26"/>
    </w:rPr>
  </w:style>
  <w:style w:type="character" w:styleId="1099" w:customStyle="1">
    <w:name w:val="Заголовок 5 Знак"/>
    <w:basedOn w:val="1082"/>
    <w:link w:val="1077"/>
    <w:uiPriority w:val="9"/>
    <w:rPr>
      <w:rFonts w:ascii="Arial" w:hAnsi="Arial" w:eastAsia="Arial" w:cs="Arial"/>
      <w:b/>
      <w:bCs/>
      <w:sz w:val="24"/>
      <w:szCs w:val="24"/>
    </w:rPr>
  </w:style>
  <w:style w:type="character" w:styleId="1100" w:customStyle="1">
    <w:name w:val="Заголовок 6 Знак"/>
    <w:basedOn w:val="1082"/>
    <w:link w:val="1078"/>
    <w:uiPriority w:val="9"/>
    <w:rPr>
      <w:rFonts w:ascii="Arial" w:hAnsi="Arial" w:eastAsia="Arial" w:cs="Arial"/>
      <w:b/>
      <w:bCs/>
      <w:sz w:val="22"/>
      <w:szCs w:val="22"/>
    </w:rPr>
  </w:style>
  <w:style w:type="character" w:styleId="1101" w:customStyle="1">
    <w:name w:val="Heading 7 Char"/>
    <w:basedOn w:val="1082"/>
    <w:uiPriority w:val="9"/>
    <w:rPr>
      <w:rFonts w:ascii="Arial" w:hAnsi="Arial" w:eastAsia="Arial" w:cs="Arial"/>
      <w:b/>
      <w:bCs/>
      <w:i/>
      <w:iCs/>
      <w:sz w:val="22"/>
      <w:szCs w:val="22"/>
    </w:rPr>
  </w:style>
  <w:style w:type="character" w:styleId="1102" w:customStyle="1">
    <w:name w:val="Heading 8 Char"/>
    <w:basedOn w:val="1082"/>
    <w:uiPriority w:val="9"/>
    <w:rPr>
      <w:rFonts w:ascii="Arial" w:hAnsi="Arial" w:eastAsia="Arial" w:cs="Arial"/>
      <w:i/>
      <w:iCs/>
      <w:sz w:val="22"/>
      <w:szCs w:val="22"/>
    </w:rPr>
  </w:style>
  <w:style w:type="character" w:styleId="1103" w:customStyle="1">
    <w:name w:val="Heading 9 Char"/>
    <w:basedOn w:val="1082"/>
    <w:uiPriority w:val="9"/>
    <w:rPr>
      <w:rFonts w:ascii="Arial" w:hAnsi="Arial" w:eastAsia="Arial" w:cs="Arial"/>
      <w:i/>
      <w:iCs/>
      <w:sz w:val="21"/>
      <w:szCs w:val="21"/>
    </w:rPr>
  </w:style>
  <w:style w:type="paragraph" w:styleId="1104">
    <w:name w:val="No Spacing"/>
    <w:uiPriority w:val="1"/>
    <w:qFormat/>
  </w:style>
  <w:style w:type="character" w:styleId="1105" w:customStyle="1">
    <w:name w:val="Заголовок Знак"/>
    <w:basedOn w:val="1082"/>
    <w:link w:val="1243"/>
    <w:uiPriority w:val="10"/>
    <w:rPr>
      <w:sz w:val="48"/>
      <w:szCs w:val="48"/>
    </w:rPr>
  </w:style>
  <w:style w:type="character" w:styleId="1106" w:customStyle="1">
    <w:name w:val="Подзаголовок Знак"/>
    <w:basedOn w:val="1082"/>
    <w:link w:val="1245"/>
    <w:uiPriority w:val="11"/>
    <w:rPr>
      <w:sz w:val="24"/>
      <w:szCs w:val="24"/>
    </w:rPr>
  </w:style>
  <w:style w:type="paragraph" w:styleId="1107">
    <w:name w:val="Quote"/>
    <w:basedOn w:val="1072"/>
    <w:next w:val="1072"/>
    <w:link w:val="1108"/>
    <w:uiPriority w:val="29"/>
    <w:qFormat/>
    <w:pPr>
      <w:ind w:left="720" w:right="720"/>
    </w:pPr>
    <w:rPr>
      <w:i/>
    </w:rPr>
  </w:style>
  <w:style w:type="character" w:styleId="1108" w:customStyle="1">
    <w:name w:val="Цитата 2 Знак"/>
    <w:link w:val="1107"/>
    <w:uiPriority w:val="29"/>
    <w:rPr>
      <w:i/>
    </w:rPr>
  </w:style>
  <w:style w:type="paragraph" w:styleId="1109">
    <w:name w:val="Intense Quote"/>
    <w:basedOn w:val="1072"/>
    <w:next w:val="1072"/>
    <w:link w:val="1110"/>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110" w:customStyle="1">
    <w:name w:val="Выделенная цитата Знак"/>
    <w:link w:val="1109"/>
    <w:uiPriority w:val="30"/>
    <w:rPr>
      <w:i/>
    </w:rPr>
  </w:style>
  <w:style w:type="character" w:styleId="1111" w:customStyle="1">
    <w:name w:val="Header Char"/>
    <w:basedOn w:val="1082"/>
    <w:uiPriority w:val="99"/>
  </w:style>
  <w:style w:type="character" w:styleId="1112" w:customStyle="1">
    <w:name w:val="Footer Char"/>
    <w:basedOn w:val="1082"/>
    <w:uiPriority w:val="99"/>
  </w:style>
  <w:style w:type="character" w:styleId="1113" w:customStyle="1">
    <w:name w:val="Caption Char"/>
    <w:uiPriority w:val="99"/>
  </w:style>
  <w:style w:type="table" w:styleId="1114" w:customStyle="1">
    <w:name w:val="Table Grid Light"/>
    <w:basedOn w:val="1083"/>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115">
    <w:name w:val="Plain Table 1"/>
    <w:basedOn w:val="1083"/>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116">
    <w:name w:val="Plain Table 2"/>
    <w:basedOn w:val="1083"/>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117">
    <w:name w:val="Plain Table 3"/>
    <w:basedOn w:val="1083"/>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118">
    <w:name w:val="Plain Table 4"/>
    <w:basedOn w:val="1083"/>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119">
    <w:name w:val="Plain Table 5"/>
    <w:basedOn w:val="1083"/>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1120">
    <w:name w:val="Grid Table 1 Light"/>
    <w:basedOn w:val="1083"/>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1121" w:customStyle="1">
    <w:name w:val="Grid Table 1 Light - Accent 1"/>
    <w:basedOn w:val="1083"/>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1122" w:customStyle="1">
    <w:name w:val="Grid Table 1 Light - Accent 2"/>
    <w:basedOn w:val="1083"/>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1123" w:customStyle="1">
    <w:name w:val="Grid Table 1 Light - Accent 3"/>
    <w:basedOn w:val="1083"/>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1124" w:customStyle="1">
    <w:name w:val="Grid Table 1 Light - Accent 4"/>
    <w:basedOn w:val="1083"/>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1125" w:customStyle="1">
    <w:name w:val="Grid Table 1 Light - Accent 5"/>
    <w:basedOn w:val="1083"/>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1126" w:customStyle="1">
    <w:name w:val="Grid Table 1 Light - Accent 6"/>
    <w:basedOn w:val="1083"/>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1127">
    <w:name w:val="Grid Table 2"/>
    <w:basedOn w:val="1083"/>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1128" w:customStyle="1">
    <w:name w:val="Grid Table 2 - Accent 1"/>
    <w:basedOn w:val="1083"/>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1129" w:customStyle="1">
    <w:name w:val="Grid Table 2 - Accent 2"/>
    <w:basedOn w:val="1083"/>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1130" w:customStyle="1">
    <w:name w:val="Grid Table 2 - Accent 3"/>
    <w:basedOn w:val="1083"/>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1131" w:customStyle="1">
    <w:name w:val="Grid Table 2 - Accent 4"/>
    <w:basedOn w:val="1083"/>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1132" w:customStyle="1">
    <w:name w:val="Grid Table 2 - Accent 5"/>
    <w:basedOn w:val="1083"/>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1133" w:customStyle="1">
    <w:name w:val="Grid Table 2 - Accent 6"/>
    <w:basedOn w:val="1083"/>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1134">
    <w:name w:val="Grid Table 3"/>
    <w:basedOn w:val="1083"/>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135" w:customStyle="1">
    <w:name w:val="Grid Table 3 - Accent 1"/>
    <w:basedOn w:val="1083"/>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136" w:customStyle="1">
    <w:name w:val="Grid Table 3 - Accent 2"/>
    <w:basedOn w:val="1083"/>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137" w:customStyle="1">
    <w:name w:val="Grid Table 3 - Accent 3"/>
    <w:basedOn w:val="1083"/>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138" w:customStyle="1">
    <w:name w:val="Grid Table 3 - Accent 4"/>
    <w:basedOn w:val="1083"/>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139" w:customStyle="1">
    <w:name w:val="Grid Table 3 - Accent 5"/>
    <w:basedOn w:val="1083"/>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140" w:customStyle="1">
    <w:name w:val="Grid Table 3 - Accent 6"/>
    <w:basedOn w:val="1083"/>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141">
    <w:name w:val="Grid Table 4"/>
    <w:basedOn w:val="1083"/>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142" w:customStyle="1">
    <w:name w:val="Grid Table 4 - Accent 1"/>
    <w:basedOn w:val="1083"/>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1143" w:customStyle="1">
    <w:name w:val="Grid Table 4 - Accent 2"/>
    <w:basedOn w:val="1083"/>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1144" w:customStyle="1">
    <w:name w:val="Grid Table 4 - Accent 3"/>
    <w:basedOn w:val="1083"/>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1145" w:customStyle="1">
    <w:name w:val="Grid Table 4 - Accent 4"/>
    <w:basedOn w:val="1083"/>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1146" w:customStyle="1">
    <w:name w:val="Grid Table 4 - Accent 5"/>
    <w:basedOn w:val="1083"/>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1147" w:customStyle="1">
    <w:name w:val="Grid Table 4 - Accent 6"/>
    <w:basedOn w:val="1083"/>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1148">
    <w:name w:val="Grid Table 5 Dark"/>
    <w:basedOn w:val="108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1149" w:customStyle="1">
    <w:name w:val="Grid Table 5 Dark- Accent 1"/>
    <w:basedOn w:val="108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1150" w:customStyle="1">
    <w:name w:val="Grid Table 5 Dark - Accent 2"/>
    <w:basedOn w:val="108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1151" w:customStyle="1">
    <w:name w:val="Grid Table 5 Dark - Accent 3"/>
    <w:basedOn w:val="108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1152" w:customStyle="1">
    <w:name w:val="Grid Table 5 Dark- Accent 4"/>
    <w:basedOn w:val="108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1153" w:customStyle="1">
    <w:name w:val="Grid Table 5 Dark - Accent 5"/>
    <w:basedOn w:val="108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1154" w:customStyle="1">
    <w:name w:val="Grid Table 5 Dark - Accent 6"/>
    <w:basedOn w:val="108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1155">
    <w:name w:val="Grid Table 6 Colorful"/>
    <w:basedOn w:val="1083"/>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156" w:customStyle="1">
    <w:name w:val="Grid Table 6 Colorful - Accent 1"/>
    <w:basedOn w:val="1083"/>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1157" w:customStyle="1">
    <w:name w:val="Grid Table 6 Colorful - Accent 2"/>
    <w:basedOn w:val="1083"/>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1158" w:customStyle="1">
    <w:name w:val="Grid Table 6 Colorful - Accent 3"/>
    <w:basedOn w:val="1083"/>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1159" w:customStyle="1">
    <w:name w:val="Grid Table 6 Colorful - Accent 4"/>
    <w:basedOn w:val="1083"/>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1160" w:customStyle="1">
    <w:name w:val="Grid Table 6 Colorful - Accent 5"/>
    <w:basedOn w:val="1083"/>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161" w:customStyle="1">
    <w:name w:val="Grid Table 6 Colorful - Accent 6"/>
    <w:basedOn w:val="1083"/>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162">
    <w:name w:val="Grid Table 7 Colorful"/>
    <w:basedOn w:val="1083"/>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163" w:customStyle="1">
    <w:name w:val="Grid Table 7 Colorful - Accent 1"/>
    <w:basedOn w:val="1083"/>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0" w:space="0"/>
          <w:left w:val="none" w:color="000000" w:sz="0" w:space="0"/>
          <w:bottom w:val="single" w:color="A6BFDD" w:themeColor="accent1" w:themeTint="80" w:sz="4" w:space="0"/>
          <w:right w:val="none" w:color="000000" w:sz="0" w:space="0"/>
        </w:tcBorders>
      </w:tcPr>
    </w:tblStylePr>
    <w:tblStylePr w:type="lastCol">
      <w:rPr>
        <w:rFonts w:ascii="Arial" w:hAnsi="Arial"/>
        <w:i/>
        <w:color w:val="a6bfdd" w:themeColor="accent1" w:themeTint="80" w:themeShade="95"/>
        <w:sz w:val="22"/>
      </w:rPr>
      <w:tcPr>
        <w:shd w:val="clear" w:color="ffffff" w:fill="auto"/>
        <w:tcBorders>
          <w:top w:val="none" w:color="000000" w:sz="0" w:space="0"/>
          <w:left w:val="single" w:color="A6BFDD" w:themeColor="accent1" w:themeTint="80" w:sz="4" w:space="0"/>
          <w:bottom w:val="none" w:color="000000" w:sz="0" w:space="0"/>
          <w:right w:val="none" w:color="000000" w:sz="0"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0" w:space="0"/>
          <w:bottom w:val="none" w:color="000000" w:sz="0" w:space="0"/>
          <w:right w:val="none" w:color="000000" w:sz="0" w:space="0"/>
        </w:tcBorders>
      </w:tcPr>
    </w:tblStylePr>
  </w:style>
  <w:style w:type="table" w:styleId="1164" w:customStyle="1">
    <w:name w:val="Grid Table 7 Colorful - Accent 2"/>
    <w:basedOn w:val="1083"/>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1165" w:customStyle="1">
    <w:name w:val="Grid Table 7 Colorful - Accent 3"/>
    <w:basedOn w:val="1083"/>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0" w:space="0"/>
          <w:left w:val="none" w:color="000000" w:sz="0" w:space="0"/>
          <w:bottom w:val="single" w:color="9ABB59" w:themeColor="accent3" w:themeTint="FE" w:sz="4" w:space="0"/>
          <w:right w:val="none" w:color="000000" w:sz="0" w:space="0"/>
        </w:tcBorders>
      </w:tcPr>
    </w:tblStylePr>
    <w:tblStylePr w:type="lastCol">
      <w:rPr>
        <w:rFonts w:ascii="Arial" w:hAnsi="Arial"/>
        <w:i/>
        <w:color w:val="9abb59" w:themeColor="accent3" w:themeTint="FE" w:themeShade="95"/>
        <w:sz w:val="22"/>
      </w:rPr>
      <w:tcPr>
        <w:shd w:val="clear" w:color="ffffff" w:fill="auto"/>
        <w:tcBorders>
          <w:top w:val="none" w:color="000000" w:sz="0" w:space="0"/>
          <w:left w:val="single" w:color="9ABB59" w:themeColor="accent3" w:themeTint="FE" w:sz="4" w:space="0"/>
          <w:bottom w:val="none" w:color="000000" w:sz="0" w:space="0"/>
          <w:right w:val="none" w:color="000000" w:sz="0"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0" w:space="0"/>
          <w:bottom w:val="none" w:color="000000" w:sz="0" w:space="0"/>
          <w:right w:val="none" w:color="000000" w:sz="0" w:space="0"/>
        </w:tcBorders>
      </w:tcPr>
    </w:tblStylePr>
  </w:style>
  <w:style w:type="table" w:styleId="1166" w:customStyle="1">
    <w:name w:val="Grid Table 7 Colorful - Accent 4"/>
    <w:basedOn w:val="1083"/>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1167" w:customStyle="1">
    <w:name w:val="Grid Table 7 Colorful - Accent 5"/>
    <w:basedOn w:val="1083"/>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0" w:space="0"/>
          <w:left w:val="none" w:color="000000" w:sz="0" w:space="0"/>
          <w:bottom w:val="none" w:color="000000" w:sz="0"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0" w:space="0"/>
          <w:left w:val="none" w:color="000000" w:sz="0" w:space="0"/>
          <w:bottom w:val="single" w:color="99D0DE" w:themeColor="accent5" w:themeTint="90" w:sz="4" w:space="0"/>
          <w:right w:val="none" w:color="000000" w:sz="0" w:space="0"/>
        </w:tcBorders>
      </w:tcPr>
    </w:tblStylePr>
    <w:tblStylePr w:type="lastCol">
      <w:rPr>
        <w:rFonts w:ascii="Arial" w:hAnsi="Arial"/>
        <w:i/>
        <w:color w:val="266779" w:themeColor="accent5" w:themeShade="95"/>
        <w:sz w:val="22"/>
      </w:rPr>
      <w:tcPr>
        <w:shd w:val="clear" w:color="ffffff" w:fill="auto"/>
        <w:tcBorders>
          <w:top w:val="none" w:color="000000" w:sz="0" w:space="0"/>
          <w:left w:val="single" w:color="99D0DE" w:themeColor="accent5" w:themeTint="90" w:sz="4" w:space="0"/>
          <w:bottom w:val="none" w:color="000000" w:sz="0" w:space="0"/>
          <w:right w:val="none" w:color="000000" w:sz="0"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0" w:space="0"/>
          <w:bottom w:val="none" w:color="000000" w:sz="0" w:space="0"/>
          <w:right w:val="none" w:color="000000" w:sz="0" w:space="0"/>
        </w:tcBorders>
      </w:tcPr>
    </w:tblStylePr>
  </w:style>
  <w:style w:type="table" w:styleId="1168" w:customStyle="1">
    <w:name w:val="Grid Table 7 Colorful - Accent 6"/>
    <w:basedOn w:val="1083"/>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0" w:space="0"/>
          <w:left w:val="none" w:color="000000" w:sz="0" w:space="0"/>
          <w:bottom w:val="none" w:color="000000" w:sz="0"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0" w:space="0"/>
          <w:left w:val="none" w:color="000000" w:sz="0" w:space="0"/>
          <w:bottom w:val="single" w:color="FAC396" w:themeColor="accent6" w:themeTint="90" w:sz="4" w:space="0"/>
          <w:right w:val="none" w:color="000000" w:sz="0" w:space="0"/>
        </w:tcBorders>
      </w:tcPr>
    </w:tblStylePr>
    <w:tblStylePr w:type="lastCol">
      <w:rPr>
        <w:rFonts w:ascii="Arial" w:hAnsi="Arial"/>
        <w:i/>
        <w:color w:val="b15407" w:themeColor="accent6" w:themeShade="95"/>
        <w:sz w:val="22"/>
      </w:rPr>
      <w:tcPr>
        <w:shd w:val="clear" w:color="ffffff" w:fill="auto"/>
        <w:tcBorders>
          <w:top w:val="none" w:color="000000" w:sz="0" w:space="0"/>
          <w:left w:val="single" w:color="FAC396" w:themeColor="accent6" w:themeTint="90" w:sz="4" w:space="0"/>
          <w:bottom w:val="none" w:color="000000" w:sz="0" w:space="0"/>
          <w:right w:val="none" w:color="000000" w:sz="0"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0" w:space="0"/>
          <w:bottom w:val="none" w:color="000000" w:sz="0" w:space="0"/>
          <w:right w:val="none" w:color="000000" w:sz="0" w:space="0"/>
        </w:tcBorders>
      </w:tcPr>
    </w:tblStylePr>
  </w:style>
  <w:style w:type="table" w:styleId="1169">
    <w:name w:val="List Table 1 Light"/>
    <w:basedOn w:val="1083"/>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170" w:customStyle="1">
    <w:name w:val="List Table 1 Light - Accent 1"/>
    <w:basedOn w:val="1083"/>
    <w:uiPriority w:val="99"/>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1171" w:customStyle="1">
    <w:name w:val="List Table 1 Light - Accent 2"/>
    <w:basedOn w:val="1083"/>
    <w:uiPriority w:val="99"/>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1172" w:customStyle="1">
    <w:name w:val="List Table 1 Light - Accent 3"/>
    <w:basedOn w:val="1083"/>
    <w:uiPriority w:val="99"/>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1173" w:customStyle="1">
    <w:name w:val="List Table 1 Light - Accent 4"/>
    <w:basedOn w:val="1083"/>
    <w:uiPriority w:val="99"/>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1174" w:customStyle="1">
    <w:name w:val="List Table 1 Light - Accent 5"/>
    <w:basedOn w:val="1083"/>
    <w:uiPriority w:val="99"/>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1175" w:customStyle="1">
    <w:name w:val="List Table 1 Light - Accent 6"/>
    <w:basedOn w:val="1083"/>
    <w:uiPriority w:val="99"/>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1176">
    <w:name w:val="List Table 2"/>
    <w:basedOn w:val="1083"/>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177" w:customStyle="1">
    <w:name w:val="List Table 2 - Accent 1"/>
    <w:basedOn w:val="1083"/>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1178" w:customStyle="1">
    <w:name w:val="List Table 2 - Accent 2"/>
    <w:basedOn w:val="1083"/>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1179" w:customStyle="1">
    <w:name w:val="List Table 2 - Accent 3"/>
    <w:basedOn w:val="1083"/>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1180" w:customStyle="1">
    <w:name w:val="List Table 2 - Accent 4"/>
    <w:basedOn w:val="1083"/>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1181" w:customStyle="1">
    <w:name w:val="List Table 2 - Accent 5"/>
    <w:basedOn w:val="1083"/>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1182" w:customStyle="1">
    <w:name w:val="List Table 2 - Accent 6"/>
    <w:basedOn w:val="1083"/>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1183">
    <w:name w:val="List Table 3"/>
    <w:basedOn w:val="1083"/>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184" w:customStyle="1">
    <w:name w:val="List Table 3 - Accent 1"/>
    <w:basedOn w:val="1083"/>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185" w:customStyle="1">
    <w:name w:val="List Table 3 - Accent 2"/>
    <w:basedOn w:val="1083"/>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1186" w:customStyle="1">
    <w:name w:val="List Table 3 - Accent 3"/>
    <w:basedOn w:val="1083"/>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1187" w:customStyle="1">
    <w:name w:val="List Table 3 - Accent 4"/>
    <w:basedOn w:val="1083"/>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1188" w:customStyle="1">
    <w:name w:val="List Table 3 - Accent 5"/>
    <w:basedOn w:val="1083"/>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1189" w:customStyle="1">
    <w:name w:val="List Table 3 - Accent 6"/>
    <w:basedOn w:val="1083"/>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1190">
    <w:name w:val="List Table 4"/>
    <w:basedOn w:val="1083"/>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191" w:customStyle="1">
    <w:name w:val="List Table 4 - Accent 1"/>
    <w:basedOn w:val="1083"/>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192" w:customStyle="1">
    <w:name w:val="List Table 4 - Accent 2"/>
    <w:basedOn w:val="1083"/>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1193" w:customStyle="1">
    <w:name w:val="List Table 4 - Accent 3"/>
    <w:basedOn w:val="1083"/>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1194" w:customStyle="1">
    <w:name w:val="List Table 4 - Accent 4"/>
    <w:basedOn w:val="1083"/>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1195" w:customStyle="1">
    <w:name w:val="List Table 4 - Accent 5"/>
    <w:basedOn w:val="1083"/>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1196" w:customStyle="1">
    <w:name w:val="List Table 4 - Accent 6"/>
    <w:basedOn w:val="1083"/>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1197">
    <w:name w:val="List Table 5 Dark"/>
    <w:basedOn w:val="1083"/>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1198" w:customStyle="1">
    <w:name w:val="List Table 5 Dark - Accent 1"/>
    <w:basedOn w:val="1083"/>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1199" w:customStyle="1">
    <w:name w:val="List Table 5 Dark - Accent 2"/>
    <w:basedOn w:val="1083"/>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1200" w:customStyle="1">
    <w:name w:val="List Table 5 Dark - Accent 3"/>
    <w:basedOn w:val="1083"/>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1201" w:customStyle="1">
    <w:name w:val="List Table 5 Dark - Accent 4"/>
    <w:basedOn w:val="1083"/>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1202" w:customStyle="1">
    <w:name w:val="List Table 5 Dark - Accent 5"/>
    <w:basedOn w:val="1083"/>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1203" w:customStyle="1">
    <w:name w:val="List Table 5 Dark - Accent 6"/>
    <w:basedOn w:val="1083"/>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1204">
    <w:name w:val="List Table 6 Colorful"/>
    <w:basedOn w:val="1083"/>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205" w:customStyle="1">
    <w:name w:val="List Table 6 Colorful - Accent 1"/>
    <w:basedOn w:val="1083"/>
    <w:uiPriority w:val="99"/>
    <w:tblPr>
      <w:tblStyleRowBandSize w:val="1"/>
      <w:tblStyleColBandSize w:val="1"/>
      <w:tblBorders>
        <w:top w:val="single" w:color="4F81BD" w:themeColor="accent1" w:sz="4" w:space="0"/>
        <w:bottom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1206" w:customStyle="1">
    <w:name w:val="List Table 6 Colorful - Accent 2"/>
    <w:basedOn w:val="1083"/>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1207" w:customStyle="1">
    <w:name w:val="List Table 6 Colorful - Accent 3"/>
    <w:basedOn w:val="1083"/>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1208" w:customStyle="1">
    <w:name w:val="List Table 6 Colorful - Accent 4"/>
    <w:basedOn w:val="1083"/>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1209" w:customStyle="1">
    <w:name w:val="List Table 6 Colorful - Accent 5"/>
    <w:basedOn w:val="1083"/>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1210" w:customStyle="1">
    <w:name w:val="List Table 6 Colorful - Accent 6"/>
    <w:basedOn w:val="1083"/>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1211">
    <w:name w:val="List Table 7 Colorful"/>
    <w:basedOn w:val="1083"/>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212" w:customStyle="1">
    <w:name w:val="List Table 7 Colorful - Accent 1"/>
    <w:basedOn w:val="1083"/>
    <w:uiPriority w:val="99"/>
    <w:tblPr>
      <w:tblStyleRowBandSize w:val="1"/>
      <w:tblStyleColBandSize w:val="1"/>
      <w:tblBorders>
        <w:right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rFonts w:ascii="Arial" w:hAnsi="Arial"/>
        <w:i/>
        <w:color w:val="2a4a71" w:themeColor="accent1"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1213" w:customStyle="1">
    <w:name w:val="List Table 7 Colorful - Accent 2"/>
    <w:basedOn w:val="1083"/>
    <w:uiPriority w:val="99"/>
    <w:tblPr>
      <w:tblStyleRowBandSize w:val="1"/>
      <w:tblStyleColBandSize w:val="1"/>
      <w:tblBorders>
        <w:right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1214" w:customStyle="1">
    <w:name w:val="List Table 7 Colorful - Accent 3"/>
    <w:basedOn w:val="1083"/>
    <w:uiPriority w:val="99"/>
    <w:tblPr>
      <w:tblStyleRowBandSize w:val="1"/>
      <w:tblStyleColBandSize w:val="1"/>
      <w:tblBorders>
        <w:right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0" w:space="0"/>
          <w:left w:val="none" w:color="000000" w:sz="0" w:space="0"/>
          <w:bottom w:val="single" w:color="C3D69B" w:themeColor="accent3" w:themeTint="98" w:sz="4" w:space="0"/>
          <w:right w:val="none" w:color="000000" w:sz="0" w:space="0"/>
        </w:tcBorders>
      </w:tcPr>
    </w:tblStylePr>
    <w:tblStylePr w:type="lastCol">
      <w:rPr>
        <w:rFonts w:ascii="Arial" w:hAnsi="Arial"/>
        <w:i/>
        <w:color w:val="c3d69b" w:themeColor="accent3" w:themeTint="98" w:themeShade="95"/>
        <w:sz w:val="22"/>
      </w:rPr>
      <w:tcPr>
        <w:shd w:val="clear" w:color="ffffff" w:fill="auto"/>
        <w:tcBorders>
          <w:top w:val="none" w:color="000000" w:sz="0" w:space="0"/>
          <w:left w:val="single" w:color="C3D69B" w:themeColor="accent3" w:themeTint="98" w:sz="4" w:space="0"/>
          <w:bottom w:val="none" w:color="000000" w:sz="0" w:space="0"/>
          <w:right w:val="none" w:color="000000" w:sz="0"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0" w:space="0"/>
          <w:bottom w:val="none" w:color="000000" w:sz="0" w:space="0"/>
          <w:right w:val="none" w:color="000000" w:sz="0" w:space="0"/>
        </w:tcBorders>
      </w:tcPr>
    </w:tblStylePr>
  </w:style>
  <w:style w:type="table" w:styleId="1215" w:customStyle="1">
    <w:name w:val="List Table 7 Colorful - Accent 4"/>
    <w:basedOn w:val="1083"/>
    <w:uiPriority w:val="99"/>
    <w:tblPr>
      <w:tblStyleRowBandSize w:val="1"/>
      <w:tblStyleColBandSize w:val="1"/>
      <w:tblBorders>
        <w:right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1216" w:customStyle="1">
    <w:name w:val="List Table 7 Colorful - Accent 5"/>
    <w:basedOn w:val="1083"/>
    <w:uiPriority w:val="99"/>
    <w:tblPr>
      <w:tblStyleRowBandSize w:val="1"/>
      <w:tblStyleColBandSize w:val="1"/>
      <w:tblBorders>
        <w:right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0" w:space="0"/>
          <w:left w:val="none" w:color="000000" w:sz="0" w:space="0"/>
          <w:bottom w:val="single" w:color="92CCDC" w:themeColor="accent5" w:themeTint="9A" w:sz="4" w:space="0"/>
          <w:right w:val="none" w:color="000000" w:sz="0" w:space="0"/>
        </w:tcBorders>
      </w:tcPr>
    </w:tblStylePr>
    <w:tblStylePr w:type="lastCol">
      <w:rPr>
        <w:rFonts w:ascii="Arial" w:hAnsi="Arial"/>
        <w:i/>
        <w:color w:val="92ccdc" w:themeColor="accent5" w:themeTint="9A" w:themeShade="95"/>
        <w:sz w:val="22"/>
      </w:rPr>
      <w:tcPr>
        <w:shd w:val="clear" w:color="ffffff" w:fill="auto"/>
        <w:tcBorders>
          <w:top w:val="none" w:color="000000" w:sz="0" w:space="0"/>
          <w:left w:val="single" w:color="92CCDC" w:themeColor="accent5" w:themeTint="9A" w:sz="4" w:space="0"/>
          <w:bottom w:val="none" w:color="000000" w:sz="0" w:space="0"/>
          <w:right w:val="none" w:color="000000" w:sz="0"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0" w:space="0"/>
          <w:bottom w:val="none" w:color="000000" w:sz="0" w:space="0"/>
          <w:right w:val="none" w:color="000000" w:sz="0" w:space="0"/>
        </w:tcBorders>
      </w:tcPr>
    </w:tblStylePr>
  </w:style>
  <w:style w:type="table" w:styleId="1217" w:customStyle="1">
    <w:name w:val="List Table 7 Colorful - Accent 6"/>
    <w:basedOn w:val="1083"/>
    <w:uiPriority w:val="99"/>
    <w:tblPr>
      <w:tblStyleRowBandSize w:val="1"/>
      <w:tblStyleColBandSize w:val="1"/>
      <w:tblBorders>
        <w:right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0" w:space="0"/>
          <w:left w:val="none" w:color="000000" w:sz="0" w:space="0"/>
          <w:bottom w:val="single" w:color="FAC090" w:themeColor="accent6" w:themeTint="98" w:sz="4" w:space="0"/>
          <w:right w:val="none" w:color="000000" w:sz="0" w:space="0"/>
        </w:tcBorders>
      </w:tcPr>
    </w:tblStylePr>
    <w:tblStylePr w:type="lastCol">
      <w:rPr>
        <w:rFonts w:ascii="Arial" w:hAnsi="Arial"/>
        <w:i/>
        <w:color w:val="fac090" w:themeColor="accent6" w:themeTint="98" w:themeShade="95"/>
        <w:sz w:val="22"/>
      </w:rPr>
      <w:tcPr>
        <w:shd w:val="clear" w:color="ffffff" w:fill="auto"/>
        <w:tcBorders>
          <w:top w:val="none" w:color="000000" w:sz="0" w:space="0"/>
          <w:left w:val="single" w:color="FAC090" w:themeColor="accent6" w:themeTint="98" w:sz="4" w:space="0"/>
          <w:bottom w:val="none" w:color="000000" w:sz="0" w:space="0"/>
          <w:right w:val="none" w:color="000000" w:sz="0"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0" w:space="0"/>
          <w:bottom w:val="none" w:color="000000" w:sz="0" w:space="0"/>
          <w:right w:val="none" w:color="000000" w:sz="0" w:space="0"/>
        </w:tcBorders>
      </w:tcPr>
    </w:tblStylePr>
  </w:style>
  <w:style w:type="table" w:styleId="1218" w:customStyle="1">
    <w:name w:val="Lined - Accent"/>
    <w:basedOn w:val="1083"/>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219" w:customStyle="1">
    <w:name w:val="Lined - Accent 1"/>
    <w:basedOn w:val="1083"/>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220" w:customStyle="1">
    <w:name w:val="Lined - Accent 2"/>
    <w:basedOn w:val="1083"/>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221" w:customStyle="1">
    <w:name w:val="Lined - Accent 3"/>
    <w:basedOn w:val="1083"/>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222" w:customStyle="1">
    <w:name w:val="Lined - Accent 4"/>
    <w:basedOn w:val="1083"/>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223" w:customStyle="1">
    <w:name w:val="Lined - Accent 5"/>
    <w:basedOn w:val="1083"/>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224" w:customStyle="1">
    <w:name w:val="Lined - Accent 6"/>
    <w:basedOn w:val="1083"/>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225" w:customStyle="1">
    <w:name w:val="Bordered &amp; Lined - Accent"/>
    <w:basedOn w:val="1083"/>
    <w:uiPriority w:val="99"/>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226" w:customStyle="1">
    <w:name w:val="Bordered &amp; Lined - Accent 1"/>
    <w:basedOn w:val="1083"/>
    <w:uiPriority w:val="99"/>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227" w:customStyle="1">
    <w:name w:val="Bordered &amp; Lined - Accent 2"/>
    <w:basedOn w:val="1083"/>
    <w:uiPriority w:val="99"/>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228" w:customStyle="1">
    <w:name w:val="Bordered &amp; Lined - Accent 3"/>
    <w:basedOn w:val="1083"/>
    <w:uiPriority w:val="99"/>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229" w:customStyle="1">
    <w:name w:val="Bordered &amp; Lined - Accent 4"/>
    <w:basedOn w:val="1083"/>
    <w:uiPriority w:val="99"/>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230" w:customStyle="1">
    <w:name w:val="Bordered &amp; Lined - Accent 5"/>
    <w:basedOn w:val="1083"/>
    <w:uiPriority w:val="99"/>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231" w:customStyle="1">
    <w:name w:val="Bordered &amp; Lined - Accent 6"/>
    <w:basedOn w:val="1083"/>
    <w:uiPriority w:val="99"/>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232" w:customStyle="1">
    <w:name w:val="Bordered"/>
    <w:basedOn w:val="1083"/>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1233" w:customStyle="1">
    <w:name w:val="Bordered - Accent 1"/>
    <w:basedOn w:val="1083"/>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1234" w:customStyle="1">
    <w:name w:val="Bordered - Accent 2"/>
    <w:basedOn w:val="1083"/>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1235" w:customStyle="1">
    <w:name w:val="Bordered - Accent 3"/>
    <w:basedOn w:val="1083"/>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1236" w:customStyle="1">
    <w:name w:val="Bordered - Accent 4"/>
    <w:basedOn w:val="1083"/>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1237" w:customStyle="1">
    <w:name w:val="Bordered - Accent 5"/>
    <w:basedOn w:val="1083"/>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1238" w:customStyle="1">
    <w:name w:val="Bordered - Accent 6"/>
    <w:basedOn w:val="1083"/>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1239" w:customStyle="1">
    <w:name w:val="Footnote Text Char"/>
    <w:uiPriority w:val="99"/>
    <w:rPr>
      <w:sz w:val="18"/>
    </w:rPr>
  </w:style>
  <w:style w:type="character" w:styleId="1240" w:customStyle="1">
    <w:name w:val="Endnote Text Char"/>
    <w:uiPriority w:val="99"/>
    <w:rPr>
      <w:sz w:val="20"/>
    </w:rPr>
  </w:style>
  <w:style w:type="paragraph" w:styleId="1241">
    <w:name w:val="TOC Heading"/>
    <w:uiPriority w:val="39"/>
    <w:unhideWhenUsed/>
  </w:style>
  <w:style w:type="table" w:styleId="1242" w:customStyle="1">
    <w:name w:val="Table Normal"/>
    <w:tblPr>
      <w:tblCellMar>
        <w:left w:w="0" w:type="dxa"/>
        <w:top w:w="0" w:type="dxa"/>
        <w:right w:w="0" w:type="dxa"/>
        <w:bottom w:w="0" w:type="dxa"/>
      </w:tblCellMar>
    </w:tblPr>
  </w:style>
  <w:style w:type="paragraph" w:styleId="1243">
    <w:name w:val="Title"/>
    <w:basedOn w:val="1072"/>
    <w:link w:val="1105"/>
    <w:qFormat/>
    <w:pPr>
      <w:jc w:val="center"/>
      <w:spacing w:before="240" w:after="60"/>
      <w:outlineLvl w:val="0"/>
    </w:pPr>
    <w:rPr>
      <w:rFonts w:ascii="Arial" w:hAnsi="Arial" w:cs="Arial"/>
      <w:b/>
      <w:bCs/>
      <w:sz w:val="32"/>
      <w:szCs w:val="32"/>
    </w:rPr>
  </w:style>
  <w:style w:type="table" w:styleId="1244" w:customStyle="1">
    <w:name w:val="Table Normal"/>
    <w:tblPr>
      <w:tblCellMar>
        <w:left w:w="0" w:type="dxa"/>
        <w:top w:w="0" w:type="dxa"/>
        <w:right w:w="0" w:type="dxa"/>
        <w:bottom w:w="0" w:type="dxa"/>
      </w:tblCellMar>
    </w:tblPr>
  </w:style>
  <w:style w:type="paragraph" w:styleId="1245">
    <w:name w:val="Subtitle"/>
    <w:basedOn w:val="1072"/>
    <w:next w:val="1072"/>
    <w:link w:val="1106"/>
    <w:pPr>
      <w:jc w:val="center"/>
      <w:spacing w:after="60"/>
    </w:pPr>
    <w:rPr>
      <w:rFonts w:ascii="Arial" w:hAnsi="Arial" w:eastAsia="Arial" w:cs="Arial"/>
    </w:rPr>
  </w:style>
  <w:style w:type="table" w:styleId="1246" w:customStyle="1">
    <w:name w:val="StGen0"/>
    <w:basedOn w:val="1244"/>
    <w:tblPr>
      <w:tblStyleRowBandSize w:val="1"/>
      <w:tblStyleColBandSize w:val="1"/>
    </w:tblPr>
  </w:style>
  <w:style w:type="paragraph" w:styleId="1247" w:customStyle="1">
    <w:name w:val="_GOST_Figure"/>
    <w:next w:val="1072"/>
    <w:pPr>
      <w:jc w:val="center"/>
      <w:keepNext/>
      <w:spacing w:before="120" w:after="120"/>
    </w:pPr>
    <w:rPr>
      <w:sz w:val="20"/>
      <w:szCs w:val="20"/>
    </w:rPr>
  </w:style>
  <w:style w:type="paragraph" w:styleId="1248" w:customStyle="1">
    <w:name w:val="_GOST_Fig_Name"/>
    <w:basedOn w:val="1247"/>
    <w:next w:val="1072"/>
    <w:pPr>
      <w:numPr>
        <w:ilvl w:val="0"/>
        <w:numId w:val="1"/>
      </w:numPr>
      <w:contextualSpacing/>
      <w:ind w:left="947"/>
      <w:keepNext w:val="0"/>
    </w:pPr>
    <w:rPr>
      <w:b/>
      <w:sz w:val="24"/>
      <w:szCs w:val="24"/>
    </w:rPr>
  </w:style>
  <w:style w:type="paragraph" w:styleId="1249" w:customStyle="1">
    <w:name w:val="_GOST_header"/>
    <w:rPr>
      <w:rFonts w:ascii="Arial" w:hAnsi="Arial"/>
      <w:b/>
      <w:color w:val="333333"/>
      <w:sz w:val="20"/>
      <w:szCs w:val="20"/>
    </w:rPr>
  </w:style>
  <w:style w:type="paragraph" w:styleId="1250" w:customStyle="1">
    <w:name w:val="_GOST_List_mark1"/>
    <w:pPr>
      <w:ind w:left="720" w:hanging="720"/>
      <w:tabs>
        <w:tab w:val="num" w:pos="720" w:leader="none"/>
      </w:tabs>
    </w:pPr>
    <w:rPr>
      <w:sz w:val="20"/>
      <w:szCs w:val="20"/>
    </w:rPr>
  </w:style>
  <w:style w:type="paragraph" w:styleId="1251" w:customStyle="1">
    <w:name w:val="_GOST_List_mark2"/>
    <w:pPr>
      <w:ind w:left="720" w:hanging="720"/>
      <w:tabs>
        <w:tab w:val="num" w:pos="720" w:leader="none"/>
      </w:tabs>
    </w:pPr>
    <w:rPr>
      <w:sz w:val="20"/>
      <w:szCs w:val="20"/>
    </w:rPr>
  </w:style>
  <w:style w:type="paragraph" w:styleId="1252" w:customStyle="1">
    <w:name w:val="_GOST_List_mark3"/>
    <w:basedOn w:val="1072"/>
    <w:pPr>
      <w:ind w:left="720" w:hanging="720"/>
      <w:tabs>
        <w:tab w:val="num" w:pos="720" w:leader="none"/>
      </w:tabs>
    </w:pPr>
  </w:style>
  <w:style w:type="paragraph" w:styleId="1253" w:customStyle="1">
    <w:name w:val="_GOST_List_mark4"/>
    <w:basedOn w:val="1072"/>
    <w:pPr>
      <w:ind w:left="720" w:hanging="720"/>
      <w:tabs>
        <w:tab w:val="num" w:pos="720" w:leader="none"/>
      </w:tabs>
    </w:pPr>
  </w:style>
  <w:style w:type="paragraph" w:styleId="1254" w:customStyle="1">
    <w:name w:val="_GOST_List_mark5"/>
    <w:basedOn w:val="1253"/>
    <w:pPr>
      <w:ind w:left="1985" w:hanging="284"/>
      <w:tabs>
        <w:tab w:val="left" w:pos="1985" w:leader="none"/>
      </w:tabs>
    </w:pPr>
  </w:style>
  <w:style w:type="paragraph" w:styleId="1255" w:customStyle="1">
    <w:name w:val="_GOST_List_normal_1"/>
    <w:pPr>
      <w:contextualSpacing/>
      <w:ind w:left="851"/>
      <w:spacing w:before="60" w:after="60"/>
      <w:tabs>
        <w:tab w:val="left" w:pos="284" w:leader="none"/>
      </w:tabs>
    </w:pPr>
    <w:rPr>
      <w:sz w:val="20"/>
      <w:szCs w:val="20"/>
    </w:rPr>
  </w:style>
  <w:style w:type="paragraph" w:styleId="1256" w:customStyle="1">
    <w:name w:val="_GOST_List_normal_1.8"/>
    <w:pPr>
      <w:ind w:left="1021"/>
      <w:tabs>
        <w:tab w:val="left" w:pos="1021" w:leader="none"/>
      </w:tabs>
    </w:pPr>
    <w:rPr>
      <w:sz w:val="20"/>
      <w:szCs w:val="20"/>
    </w:rPr>
  </w:style>
  <w:style w:type="paragraph" w:styleId="1257" w:customStyle="1">
    <w:name w:val="_GOST_List_normal_2"/>
    <w:pPr>
      <w:contextualSpacing/>
      <w:ind w:left="1134"/>
      <w:spacing w:before="60" w:after="60"/>
      <w:tabs>
        <w:tab w:val="left" w:pos="1134" w:leader="none"/>
      </w:tabs>
    </w:pPr>
    <w:rPr>
      <w:sz w:val="20"/>
      <w:szCs w:val="20"/>
    </w:rPr>
  </w:style>
  <w:style w:type="paragraph" w:styleId="1258" w:customStyle="1">
    <w:name w:val="_GOST_List_normal_2.8"/>
    <w:pPr>
      <w:contextualSpacing/>
      <w:ind w:left="1588"/>
      <w:spacing w:before="60" w:after="60"/>
      <w:tabs>
        <w:tab w:val="left" w:pos="1588" w:leader="none"/>
      </w:tabs>
    </w:pPr>
    <w:rPr>
      <w:sz w:val="20"/>
      <w:szCs w:val="20"/>
    </w:rPr>
  </w:style>
  <w:style w:type="paragraph" w:styleId="1259" w:customStyle="1">
    <w:name w:val="_GOST_List_normal_3"/>
    <w:pPr>
      <w:contextualSpacing/>
      <w:ind w:left="1418"/>
      <w:spacing w:before="60" w:after="60"/>
      <w:tabs>
        <w:tab w:val="left" w:pos="1418" w:leader="none"/>
      </w:tabs>
    </w:pPr>
    <w:rPr>
      <w:sz w:val="20"/>
      <w:szCs w:val="20"/>
    </w:rPr>
  </w:style>
  <w:style w:type="paragraph" w:styleId="1260" w:customStyle="1">
    <w:name w:val="_GOST_List_normal_4"/>
    <w:pPr>
      <w:contextualSpacing/>
      <w:ind w:left="1701"/>
      <w:spacing w:before="60" w:after="60"/>
      <w:tabs>
        <w:tab w:val="left" w:pos="1701" w:leader="none"/>
      </w:tabs>
    </w:pPr>
  </w:style>
  <w:style w:type="paragraph" w:styleId="1261" w:customStyle="1">
    <w:name w:val="_GOST_List_normal_5"/>
    <w:pPr>
      <w:contextualSpacing/>
      <w:ind w:left="1985"/>
      <w:spacing w:before="60" w:after="60"/>
      <w:tabs>
        <w:tab w:val="left" w:pos="1985" w:leader="none"/>
      </w:tabs>
    </w:pPr>
    <w:rPr>
      <w:sz w:val="20"/>
      <w:szCs w:val="20"/>
    </w:rPr>
  </w:style>
  <w:style w:type="paragraph" w:styleId="1262" w:customStyle="1">
    <w:name w:val="_GOST_List_num"/>
    <w:pPr>
      <w:contextualSpacing/>
      <w:ind w:left="720" w:hanging="720"/>
      <w:spacing w:before="120" w:after="120"/>
      <w:tabs>
        <w:tab w:val="num" w:pos="720" w:leader="none"/>
      </w:tabs>
    </w:pPr>
    <w:rPr>
      <w:sz w:val="20"/>
      <w:szCs w:val="20"/>
    </w:rPr>
  </w:style>
  <w:style w:type="paragraph" w:styleId="1263" w:customStyle="1">
    <w:name w:val="_GOST_List_num2"/>
    <w:basedOn w:val="1262"/>
    <w:pPr>
      <w:numPr>
        <w:ilvl w:val="1"/>
      </w:numPr>
      <w:ind w:left="720" w:hanging="720"/>
      <w:tabs>
        <w:tab w:val="num" w:pos="720" w:leader="none"/>
      </w:tabs>
    </w:pPr>
    <w:rPr>
      <w:sz w:val="24"/>
      <w:szCs w:val="24"/>
    </w:rPr>
  </w:style>
  <w:style w:type="paragraph" w:styleId="1264" w:customStyle="1">
    <w:name w:val="_GOST_List_num3"/>
    <w:basedOn w:val="1263"/>
    <w:pPr>
      <w:numPr>
        <w:ilvl w:val="2"/>
      </w:numPr>
      <w:ind w:left="720" w:hanging="720"/>
      <w:tabs>
        <w:tab w:val="num" w:pos="720" w:leader="none"/>
        <w:tab w:val="left" w:pos="2268" w:leader="none"/>
      </w:tabs>
    </w:pPr>
  </w:style>
  <w:style w:type="paragraph" w:styleId="1265" w:customStyle="1">
    <w:name w:val="_GOST_List_num4"/>
    <w:basedOn w:val="1264"/>
    <w:pPr>
      <w:numPr>
        <w:ilvl w:val="3"/>
      </w:numPr>
      <w:ind w:left="720" w:hanging="720"/>
      <w:tabs>
        <w:tab w:val="num" w:pos="720" w:leader="none"/>
        <w:tab w:val="clear" w:pos="2268" w:leader="none"/>
        <w:tab w:val="left" w:pos="2835" w:leader="none"/>
      </w:tabs>
    </w:pPr>
  </w:style>
  <w:style w:type="paragraph" w:styleId="1266" w:customStyle="1">
    <w:name w:val="_GOST_Name_Table"/>
    <w:pPr>
      <w:ind w:left="720" w:hanging="720"/>
      <w:keepNext/>
      <w:spacing w:before="240" w:after="120"/>
      <w:tabs>
        <w:tab w:val="num" w:pos="720" w:leader="none"/>
      </w:tabs>
    </w:pPr>
    <w:rPr>
      <w:b/>
      <w:sz w:val="20"/>
      <w:szCs w:val="20"/>
    </w:rPr>
  </w:style>
  <w:style w:type="paragraph" w:styleId="1267" w:customStyle="1">
    <w:name w:val="_GOST_Normal"/>
    <w:pPr>
      <w:contextualSpacing/>
      <w:spacing w:before="120" w:after="60"/>
    </w:pPr>
    <w:rPr>
      <w:sz w:val="20"/>
      <w:szCs w:val="20"/>
    </w:rPr>
  </w:style>
  <w:style w:type="paragraph" w:styleId="1268" w:customStyle="1">
    <w:name w:val="_GOST_Normal_Without"/>
    <w:basedOn w:val="1267"/>
    <w:next w:val="1267"/>
    <w:pPr>
      <w:keepNext/>
    </w:pPr>
  </w:style>
  <w:style w:type="paragraph" w:styleId="1269" w:customStyle="1">
    <w:name w:val="_GOST_Note"/>
    <w:next w:val="1267"/>
    <w:link w:val="1270"/>
    <w:pPr>
      <w:ind w:left="1701" w:hanging="1701"/>
      <w:spacing w:before="120" w:after="120"/>
    </w:pPr>
    <w:rPr>
      <w:sz w:val="20"/>
      <w:szCs w:val="20"/>
    </w:rPr>
  </w:style>
  <w:style w:type="character" w:styleId="1270" w:customStyle="1">
    <w:name w:val="_GOST_Note Знак"/>
    <w:link w:val="1269"/>
    <w:rPr>
      <w:sz w:val="20"/>
      <w:szCs w:val="20"/>
    </w:rPr>
  </w:style>
  <w:style w:type="paragraph" w:styleId="1271" w:customStyle="1">
    <w:name w:val="_GOST_Note_Continue"/>
    <w:basedOn w:val="1269"/>
    <w:pPr>
      <w:ind w:firstLine="0"/>
    </w:pPr>
  </w:style>
  <w:style w:type="paragraph" w:styleId="1272" w:customStyle="1">
    <w:name w:val="_GOST_Reg"/>
    <w:next w:val="1267"/>
    <w:pPr>
      <w:contextualSpacing/>
      <w:jc w:val="center"/>
      <w:keepNext/>
      <w:pageBreakBefore/>
      <w:spacing w:before="120" w:after="120"/>
      <w:outlineLvl w:val="0"/>
    </w:pPr>
    <w:rPr>
      <w:b/>
      <w:caps/>
      <w:sz w:val="28"/>
      <w:szCs w:val="20"/>
    </w:rPr>
  </w:style>
  <w:style w:type="character" w:styleId="1273" w:customStyle="1">
    <w:name w:val="_GOST_Report_error"/>
  </w:style>
  <w:style w:type="paragraph" w:styleId="1274" w:customStyle="1">
    <w:name w:val="_GOST_Script"/>
    <w:basedOn w:val="1072"/>
    <w:pPr>
      <w:ind w:left="567" w:right="29"/>
      <w:pBdr>
        <w:top w:val="single" w:color="000000" w:sz="4" w:space="1"/>
        <w:left w:val="single" w:color="000000" w:sz="4" w:space="4"/>
        <w:bottom w:val="single" w:color="000000" w:sz="4" w:space="1"/>
        <w:right w:val="single" w:color="000000" w:sz="4" w:space="4"/>
      </w:pBdr>
    </w:pPr>
    <w:rPr>
      <w:rFonts w:ascii="Courier New" w:hAnsi="Courier New"/>
      <w:spacing w:val="-20"/>
      <w:lang w:val="en-US"/>
    </w:rPr>
  </w:style>
  <w:style w:type="paragraph" w:styleId="1275" w:customStyle="1">
    <w:name w:val="_GOST_Sign"/>
    <w:basedOn w:val="1272"/>
    <w:next w:val="1267"/>
    <w:pPr>
      <w:pageBreakBefore w:val="0"/>
      <w:outlineLvl w:val="9"/>
    </w:pPr>
  </w:style>
  <w:style w:type="character" w:styleId="1276" w:customStyle="1">
    <w:name w:val="_GOST_Sym_Bold"/>
    <w:rPr>
      <w:b/>
    </w:rPr>
  </w:style>
  <w:style w:type="character" w:styleId="1277" w:customStyle="1">
    <w:name w:val="_GOST_Sym_Bold_Italic"/>
    <w:rPr>
      <w:b/>
      <w:i/>
    </w:rPr>
  </w:style>
  <w:style w:type="character" w:styleId="1278" w:customStyle="1">
    <w:name w:val="_GOST_Sym_Italic"/>
    <w:rPr>
      <w:i/>
    </w:rPr>
  </w:style>
  <w:style w:type="paragraph" w:styleId="1279" w:customStyle="1">
    <w:name w:val="_GOST_Ta6le_List_Num_3"/>
    <w:basedOn w:val="1072"/>
    <w:pPr>
      <w:ind w:left="681" w:firstLine="0"/>
      <w:jc w:val="left"/>
    </w:pPr>
    <w:rPr>
      <w:sz w:val="22"/>
    </w:rPr>
  </w:style>
  <w:style w:type="table" w:styleId="1280" w:customStyle="1">
    <w:name w:val="_GOST_Table"/>
    <w:basedOn w:val="1083"/>
    <w:rPr>
      <w:sz w:val="22"/>
      <w:szCs w:val="20"/>
    </w:rPr>
    <w:tblPr>
      <w:tblStyleRow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28" w:type="dxa"/>
        <w:top w:w="57" w:type="dxa"/>
        <w:right w:w="28" w:type="dxa"/>
        <w:bottom w:w="57" w:type="dxa"/>
      </w:tblCellMar>
    </w:tblPr>
    <w:tblStylePr w:type="band1Horz">
      <w:rPr>
        <w:rFonts w:ascii="Times New Roman" w:hAnsi="Times New Roman"/>
        <w:sz w:val="24"/>
      </w:rPr>
      <w:pPr>
        <w:ind w:left="57" w:right="57" w:firstLine="0"/>
        <w:jc w:val="left"/>
        <w:spacing w:beforeAutospacing="0" w:afterAutospacing="0" w:line="240" w:lineRule="auto"/>
        <w:outlineLvl w:val="9"/>
      </w:pPr>
    </w:tblStylePr>
    <w:tblStylePr w:type="band2Horz">
      <w:rPr>
        <w:rFonts w:ascii="Times New Roman" w:hAnsi="Times New Roman"/>
        <w:sz w:val="24"/>
      </w:rPr>
      <w:pPr>
        <w:contextualSpacing w:val="0"/>
        <w:ind w:left="57" w:right="57" w:firstLine="0"/>
        <w:jc w:val="left"/>
        <w:spacing w:beforeAutospacing="0" w:afterAutospacing="0"/>
        <w:outlineLvl w:val="9"/>
      </w:pPr>
    </w:tblStylePr>
    <w:tblStylePr w:type="firstRow">
      <w:rPr>
        <w:rFonts w:ascii="Times New Roman" w:hAnsi="Times New Roman"/>
        <w:b w:val="0"/>
        <w:sz w:val="22"/>
      </w:rPr>
      <w:pPr>
        <w:ind w:left="0" w:right="0" w:firstLine="0"/>
        <w:jc w:val="center"/>
        <w:spacing w:beforeAutospacing="0" w:afterAutospacing="0" w:line="240" w:lineRule="auto"/>
        <w:outlineLvl w:val="9"/>
      </w:pPr>
      <w:trPr>
        <w:tblHeader/>
      </w:trPr>
      <w:tcPr>
        <w:shd w:val="clear" w:color="auto" w:fill="e6e6e6"/>
        <w:tcBorders>
          <w:top w:val="single" w:color="000000" w:sz="4" w:space="0"/>
          <w:left w:val="single" w:color="000000" w:sz="4" w:space="0"/>
          <w:bottom w:val="single" w:color="000000" w:sz="4" w:space="0"/>
          <w:right w:val="single" w:color="000000" w:sz="4" w:space="0"/>
        </w:tcBorders>
        <w:vAlign w:val="center"/>
      </w:tcPr>
    </w:tblStylePr>
  </w:style>
  <w:style w:type="paragraph" w:styleId="1281" w:customStyle="1">
    <w:name w:val="_GOST_Table_norm"/>
    <w:pPr>
      <w:ind w:left="57" w:right="57"/>
    </w:pPr>
    <w:rPr>
      <w:sz w:val="22"/>
      <w:szCs w:val="20"/>
    </w:rPr>
  </w:style>
  <w:style w:type="paragraph" w:styleId="1282" w:customStyle="1">
    <w:name w:val="_GOST_Table_Head"/>
    <w:basedOn w:val="1281"/>
    <w:pPr>
      <w:ind w:left="0" w:right="0"/>
      <w:jc w:val="center"/>
      <w:keepNext/>
    </w:pPr>
    <w:rPr>
      <w:b/>
      <w:bCs/>
    </w:rPr>
  </w:style>
  <w:style w:type="paragraph" w:styleId="1283" w:customStyle="1">
    <w:name w:val="_GOST_Table_List_Mark_1"/>
    <w:pPr>
      <w:ind w:left="720" w:right="57" w:hanging="720"/>
      <w:tabs>
        <w:tab w:val="left" w:pos="284" w:leader="none"/>
        <w:tab w:val="num" w:pos="720" w:leader="none"/>
      </w:tabs>
    </w:pPr>
    <w:rPr>
      <w:sz w:val="22"/>
      <w:szCs w:val="20"/>
    </w:rPr>
  </w:style>
  <w:style w:type="paragraph" w:styleId="1284" w:customStyle="1">
    <w:name w:val="_GOST_Table_List_Mark_2"/>
    <w:basedOn w:val="1283"/>
    <w:pPr>
      <w:ind w:left="454" w:hanging="170"/>
      <w:tabs>
        <w:tab w:val="left" w:pos="454" w:leader="none"/>
      </w:tabs>
    </w:pPr>
  </w:style>
  <w:style w:type="paragraph" w:styleId="1285" w:customStyle="1">
    <w:name w:val="_GOST_Table_List_Num 1)"/>
    <w:pPr>
      <w:ind w:left="720" w:hanging="720"/>
      <w:tabs>
        <w:tab w:val="left" w:pos="340" w:leader="none"/>
        <w:tab w:val="num" w:pos="720" w:leader="none"/>
      </w:tabs>
    </w:pPr>
    <w:rPr>
      <w:sz w:val="22"/>
      <w:szCs w:val="22"/>
    </w:rPr>
  </w:style>
  <w:style w:type="paragraph" w:styleId="1286" w:customStyle="1">
    <w:name w:val="_GOST_Table_List_Num абв)"/>
    <w:pPr>
      <w:ind w:left="720" w:hanging="720"/>
      <w:tabs>
        <w:tab w:val="left" w:pos="340" w:leader="none"/>
        <w:tab w:val="num" w:pos="720" w:leader="none"/>
      </w:tabs>
    </w:pPr>
    <w:rPr>
      <w:sz w:val="22"/>
      <w:szCs w:val="22"/>
    </w:rPr>
  </w:style>
  <w:style w:type="paragraph" w:styleId="1287" w:customStyle="1">
    <w:name w:val="_GOST_Table_List_Num_1"/>
    <w:pPr>
      <w:ind w:left="720" w:hanging="720"/>
      <w:tabs>
        <w:tab w:val="num" w:pos="720" w:leader="none"/>
      </w:tabs>
    </w:pPr>
    <w:rPr>
      <w:sz w:val="22"/>
      <w:szCs w:val="20"/>
    </w:rPr>
  </w:style>
  <w:style w:type="paragraph" w:styleId="1288" w:customStyle="1">
    <w:name w:val="_GOST_Table_List_Num_2"/>
    <w:basedOn w:val="1287"/>
    <w:pPr>
      <w:numPr>
        <w:ilvl w:val="1"/>
      </w:numPr>
      <w:ind w:left="720" w:hanging="720"/>
      <w:tabs>
        <w:tab w:val="num" w:pos="720" w:leader="none"/>
      </w:tabs>
    </w:pPr>
  </w:style>
  <w:style w:type="paragraph" w:styleId="1289" w:customStyle="1">
    <w:name w:val="_GOST_Table_List_Num_3"/>
    <w:basedOn w:val="1288"/>
    <w:pPr>
      <w:numPr>
        <w:ilvl w:val="2"/>
      </w:numPr>
      <w:ind w:left="720" w:hanging="720"/>
      <w:tabs>
        <w:tab w:val="num" w:pos="720" w:leader="none"/>
      </w:tabs>
    </w:pPr>
  </w:style>
  <w:style w:type="paragraph" w:styleId="1290" w:customStyle="1">
    <w:name w:val="_GOST_Table_List_Num_4"/>
    <w:basedOn w:val="1289"/>
    <w:qFormat/>
    <w:pPr>
      <w:numPr>
        <w:ilvl w:val="3"/>
      </w:numPr>
      <w:ind w:left="720" w:hanging="720"/>
      <w:tabs>
        <w:tab w:val="num" w:pos="720" w:leader="none"/>
      </w:tabs>
    </w:pPr>
  </w:style>
  <w:style w:type="paragraph" w:styleId="1291" w:customStyle="1">
    <w:name w:val="_GOST_Table_List_Num_5"/>
    <w:basedOn w:val="1290"/>
    <w:qFormat/>
    <w:pPr>
      <w:numPr>
        <w:ilvl w:val="4"/>
      </w:numPr>
      <w:ind w:left="720" w:hanging="720"/>
      <w:tabs>
        <w:tab w:val="num" w:pos="720" w:leader="none"/>
      </w:tabs>
    </w:pPr>
  </w:style>
  <w:style w:type="paragraph" w:styleId="1292" w:customStyle="1">
    <w:name w:val="_GOST_Table_List_Num_6"/>
    <w:basedOn w:val="1291"/>
    <w:qFormat/>
    <w:pPr>
      <w:numPr>
        <w:ilvl w:val="5"/>
      </w:numPr>
      <w:ind w:left="720" w:hanging="720"/>
      <w:tabs>
        <w:tab w:val="num" w:pos="720" w:leader="none"/>
      </w:tabs>
    </w:pPr>
  </w:style>
  <w:style w:type="paragraph" w:styleId="1293" w:customStyle="1">
    <w:name w:val="_GOST_Table_List_Num_7"/>
    <w:basedOn w:val="1292"/>
    <w:qFormat/>
    <w:pPr>
      <w:numPr>
        <w:ilvl w:val="6"/>
      </w:numPr>
      <w:ind w:left="720" w:hanging="720"/>
      <w:tabs>
        <w:tab w:val="num" w:pos="720" w:leader="none"/>
      </w:tabs>
    </w:pPr>
  </w:style>
  <w:style w:type="paragraph" w:styleId="1294" w:customStyle="1">
    <w:name w:val="_GOST_Table_Num"/>
    <w:basedOn w:val="1072"/>
    <w:pPr>
      <w:ind w:left="720" w:hanging="720"/>
      <w:tabs>
        <w:tab w:val="num" w:pos="720" w:leader="none"/>
      </w:tabs>
    </w:pPr>
    <w:rPr>
      <w:rFonts w:cs="Arial"/>
      <w:sz w:val="22"/>
    </w:rPr>
  </w:style>
  <w:style w:type="paragraph" w:styleId="1295" w:customStyle="1">
    <w:name w:val="_GOST_Titul_0"/>
    <w:pPr>
      <w:contextualSpacing/>
      <w:jc w:val="center"/>
      <w:spacing w:line="360" w:lineRule="auto"/>
    </w:pPr>
    <w:rPr>
      <w:sz w:val="28"/>
      <w:szCs w:val="28"/>
    </w:rPr>
  </w:style>
  <w:style w:type="paragraph" w:styleId="1296" w:customStyle="1">
    <w:name w:val="_GOST_Titul_1"/>
    <w:pPr>
      <w:contextualSpacing/>
      <w:jc w:val="center"/>
      <w:spacing w:before="240" w:after="240"/>
    </w:pPr>
    <w:rPr>
      <w:sz w:val="32"/>
      <w:szCs w:val="28"/>
    </w:rPr>
  </w:style>
  <w:style w:type="paragraph" w:styleId="1297" w:customStyle="1">
    <w:name w:val="_GOST_Titul_2"/>
    <w:pPr>
      <w:jc w:val="center"/>
    </w:pPr>
    <w:rPr>
      <w:b/>
      <w:caps/>
      <w:sz w:val="32"/>
      <w:szCs w:val="28"/>
    </w:rPr>
  </w:style>
  <w:style w:type="paragraph" w:styleId="1298" w:customStyle="1">
    <w:name w:val="_GOST_Titul_name_doc"/>
    <w:pPr>
      <w:contextualSpacing/>
      <w:jc w:val="center"/>
      <w:spacing w:before="200" w:after="400"/>
    </w:pPr>
    <w:rPr>
      <w:b/>
      <w:sz w:val="32"/>
      <w:szCs w:val="28"/>
    </w:rPr>
  </w:style>
  <w:style w:type="numbering" w:styleId="1299">
    <w:name w:val="Outline List 2"/>
    <w:basedOn w:val="1084"/>
    <w:semiHidden/>
  </w:style>
  <w:style w:type="numbering" w:styleId="1300">
    <w:name w:val="Outline List 1"/>
    <w:basedOn w:val="1084"/>
    <w:semiHidden/>
  </w:style>
  <w:style w:type="paragraph" w:styleId="1301">
    <w:name w:val="HTML Address"/>
    <w:basedOn w:val="1072"/>
    <w:link w:val="1302"/>
    <w:semiHidden/>
    <w:rPr>
      <w:i/>
      <w:iCs/>
    </w:rPr>
  </w:style>
  <w:style w:type="character" w:styleId="1302" w:customStyle="1">
    <w:name w:val="Адрес HTML Знак"/>
    <w:basedOn w:val="1082"/>
    <w:link w:val="1301"/>
    <w:semiHidden/>
    <w:rPr>
      <w:i/>
      <w:iCs/>
      <w:sz w:val="20"/>
      <w:szCs w:val="20"/>
    </w:rPr>
  </w:style>
  <w:style w:type="paragraph" w:styleId="1303">
    <w:name w:val="envelope address"/>
    <w:basedOn w:val="1072"/>
    <w:semiHidden/>
    <w:pPr>
      <w:ind w:left="2880"/>
      <w:framePr w:w="7920" w:h="1980" w:hSpace="180" w:wrap="auto" w:hAnchor="page" w:xAlign="center" w:yAlign="bottom" w:hRule="exact"/>
    </w:pPr>
    <w:rPr>
      <w:rFonts w:ascii="Arial" w:hAnsi="Arial" w:cs="Arial"/>
    </w:rPr>
  </w:style>
  <w:style w:type="character" w:styleId="1304">
    <w:name w:val="HTML Acronym"/>
    <w:basedOn w:val="1082"/>
    <w:semiHidden/>
  </w:style>
  <w:style w:type="table" w:styleId="1305">
    <w:name w:val="Table Web 1"/>
    <w:basedOn w:val="1083"/>
    <w:semiHidden/>
    <w:rPr>
      <w:sz w:val="20"/>
      <w:szCs w:val="20"/>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1306">
    <w:name w:val="Table Web 2"/>
    <w:basedOn w:val="1083"/>
    <w:semiHidden/>
    <w:rPr>
      <w:sz w:val="20"/>
      <w:szCs w:val="20"/>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1307">
    <w:name w:val="Table Web 3"/>
    <w:basedOn w:val="1083"/>
    <w:semiHidden/>
    <w:rPr>
      <w:sz w:val="20"/>
      <w:szCs w:val="20"/>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paragraph" w:styleId="1308">
    <w:name w:val="Header"/>
    <w:basedOn w:val="1072"/>
    <w:link w:val="1309"/>
    <w:pPr>
      <w:tabs>
        <w:tab w:val="center" w:pos="4677" w:leader="none"/>
        <w:tab w:val="right" w:pos="9355" w:leader="none"/>
      </w:tabs>
    </w:pPr>
  </w:style>
  <w:style w:type="character" w:styleId="1309" w:customStyle="1">
    <w:name w:val="Верхний колонтитул Знак"/>
    <w:basedOn w:val="1082"/>
    <w:link w:val="1308"/>
    <w:rPr>
      <w:sz w:val="20"/>
      <w:szCs w:val="20"/>
    </w:rPr>
  </w:style>
  <w:style w:type="character" w:styleId="1310">
    <w:name w:val="Emphasis"/>
    <w:qFormat/>
    <w:rPr>
      <w:i/>
      <w:iCs/>
    </w:rPr>
  </w:style>
  <w:style w:type="character" w:styleId="1311">
    <w:name w:val="Hyperlink"/>
    <w:uiPriority w:val="99"/>
    <w:rPr>
      <w:color w:val="0000ff"/>
      <w:u w:val="single"/>
    </w:rPr>
  </w:style>
  <w:style w:type="paragraph" w:styleId="1312">
    <w:name w:val="Date"/>
    <w:basedOn w:val="1072"/>
    <w:next w:val="1072"/>
    <w:link w:val="1313"/>
    <w:semiHidden/>
  </w:style>
  <w:style w:type="character" w:styleId="1313" w:customStyle="1">
    <w:name w:val="Дата Знак"/>
    <w:basedOn w:val="1082"/>
    <w:link w:val="1312"/>
    <w:semiHidden/>
    <w:rPr>
      <w:sz w:val="20"/>
      <w:szCs w:val="20"/>
    </w:rPr>
  </w:style>
  <w:style w:type="paragraph" w:styleId="1314" w:customStyle="1">
    <w:name w:val="Заг_Приложение"/>
    <w:basedOn w:val="1073"/>
    <w:next w:val="1267"/>
    <w:pPr>
      <w:numPr>
        <w:ilvl w:val="0"/>
        <w:numId w:val="0"/>
      </w:numPr>
      <w:ind w:left="720" w:hanging="720"/>
      <w:tabs>
        <w:tab w:val="num" w:pos="720" w:leader="none"/>
      </w:tabs>
    </w:pPr>
  </w:style>
  <w:style w:type="paragraph" w:styleId="1315" w:customStyle="1">
    <w:name w:val="Заг_2_Приложение"/>
    <w:basedOn w:val="1314"/>
    <w:next w:val="1267"/>
    <w:link w:val="1316"/>
    <w:pPr>
      <w:ind w:left="454" w:hanging="454"/>
      <w:jc w:val="left"/>
      <w:pageBreakBefore w:val="0"/>
      <w:spacing w:after="240"/>
      <w:tabs>
        <w:tab w:val="clear" w:pos="720" w:leader="none"/>
      </w:tabs>
    </w:pPr>
    <w:rPr>
      <w:caps w:val="0"/>
    </w:rPr>
  </w:style>
  <w:style w:type="character" w:styleId="1316" w:customStyle="1">
    <w:name w:val="Заг_2_Приложение Знак"/>
    <w:link w:val="1315"/>
    <w:rPr>
      <w:b/>
      <w:sz w:val="32"/>
      <w:szCs w:val="36"/>
    </w:rPr>
  </w:style>
  <w:style w:type="paragraph" w:styleId="1317" w:customStyle="1">
    <w:name w:val="Заг_3_Приложение"/>
    <w:basedOn w:val="1072"/>
    <w:next w:val="1267"/>
    <w:pPr>
      <w:contextualSpacing/>
      <w:ind w:left="680" w:hanging="680"/>
      <w:keepNext/>
      <w:spacing w:before="240" w:after="120"/>
      <w:outlineLvl w:val="1"/>
    </w:pPr>
    <w:rPr>
      <w:rFonts w:cs="Arial"/>
      <w:b/>
      <w:bCs/>
      <w:iCs/>
      <w:sz w:val="28"/>
      <w:szCs w:val="28"/>
    </w:rPr>
  </w:style>
  <w:style w:type="paragraph" w:styleId="1318" w:customStyle="1">
    <w:name w:val="Заг_4_Приложение"/>
    <w:basedOn w:val="1317"/>
    <w:next w:val="1267"/>
    <w:pPr>
      <w:outlineLvl w:val="3"/>
    </w:pPr>
    <w:rPr>
      <w:sz w:val="26"/>
      <w:szCs w:val="26"/>
    </w:rPr>
  </w:style>
  <w:style w:type="character" w:styleId="1319" w:customStyle="1">
    <w:name w:val="Заголовок 7 Знак"/>
    <w:basedOn w:val="1082"/>
    <w:link w:val="1079"/>
    <w:rPr>
      <w:sz w:val="20"/>
      <w:szCs w:val="20"/>
    </w:rPr>
  </w:style>
  <w:style w:type="character" w:styleId="1320" w:customStyle="1">
    <w:name w:val="Заголовок 8 Знак"/>
    <w:basedOn w:val="1082"/>
    <w:link w:val="1080"/>
    <w:rPr>
      <w:i/>
      <w:iCs/>
      <w:sz w:val="20"/>
      <w:szCs w:val="20"/>
    </w:rPr>
  </w:style>
  <w:style w:type="character" w:styleId="1321" w:customStyle="1">
    <w:name w:val="Заголовок 9 Знак"/>
    <w:basedOn w:val="1082"/>
    <w:link w:val="1081"/>
    <w:rPr>
      <w:rFonts w:ascii="Arial" w:hAnsi="Arial"/>
      <w:sz w:val="22"/>
      <w:szCs w:val="22"/>
    </w:rPr>
  </w:style>
  <w:style w:type="paragraph" w:styleId="1322">
    <w:name w:val="Note Heading"/>
    <w:basedOn w:val="1072"/>
    <w:next w:val="1072"/>
    <w:link w:val="1323"/>
    <w:semiHidden/>
  </w:style>
  <w:style w:type="character" w:styleId="1323" w:customStyle="1">
    <w:name w:val="Заголовок записки Знак"/>
    <w:basedOn w:val="1082"/>
    <w:link w:val="1322"/>
    <w:semiHidden/>
    <w:rPr>
      <w:sz w:val="20"/>
      <w:szCs w:val="20"/>
    </w:rPr>
  </w:style>
  <w:style w:type="character" w:styleId="1324">
    <w:name w:val="annotation reference"/>
    <w:semiHidden/>
    <w:rPr>
      <w:sz w:val="16"/>
      <w:szCs w:val="16"/>
    </w:rPr>
  </w:style>
  <w:style w:type="character" w:styleId="1325">
    <w:name w:val="footnote reference"/>
    <w:semiHidden/>
    <w:rPr>
      <w:vertAlign w:val="superscript"/>
    </w:rPr>
  </w:style>
  <w:style w:type="table" w:styleId="1326">
    <w:name w:val="Table Elegant"/>
    <w:basedOn w:val="1083"/>
    <w:semiHidden/>
    <w:rPr>
      <w:sz w:val="20"/>
      <w:szCs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styleId="1327">
    <w:name w:val="Table Subtle 1"/>
    <w:basedOn w:val="1083"/>
    <w:semiHidden/>
    <w:rPr>
      <w:sz w:val="20"/>
      <w:szCs w:val="20"/>
    </w:rPr>
    <w:tblPr>
      <w:tblStyleRowBandSize w:val="1"/>
    </w:tblPr>
    <w:tblStylePr w:type="band1Horz">
      <w:tcPr>
        <w:shd w:val="pct25" w:color="808000" w:fill="ffffff"/>
        <w:tcBorders>
          <w:bottom w:val="single" w:color="000000" w:sz="6" w:space="0"/>
        </w:tcBorders>
      </w:tcPr>
    </w:tblStylePr>
    <w:tblStylePr w:type="firstCol">
      <w:tcPr>
        <w:tcBorders>
          <w:right w:val="single" w:color="000000" w:sz="12" w:space="0"/>
        </w:tcBorders>
      </w:tcPr>
    </w:tblStylePr>
    <w:tblStylePr w:type="firstRow">
      <w:tcPr>
        <w:tcBorders>
          <w:top w:val="single" w:color="000000" w:sz="6" w:space="0"/>
          <w:bottom w:val="single" w:color="000000" w:sz="12" w:space="0"/>
        </w:tcBorders>
      </w:tcPr>
    </w:tblStylePr>
    <w:tblStylePr w:type="lastCol">
      <w:tcPr>
        <w:tcBorders>
          <w:left w:val="single" w:color="000000" w:sz="12" w:space="0"/>
        </w:tcBorders>
      </w:tcPr>
    </w:tblStylePr>
    <w:tblStylePr w:type="lastRow">
      <w:tcPr>
        <w:shd w:val="pct25" w:color="800080" w:fill="ffffff"/>
        <w:tcBorders>
          <w:top w:val="single" w:color="000000" w:sz="12" w:space="0"/>
        </w:tcBorders>
      </w:tcPr>
    </w:tblStylePr>
    <w:tblStylePr w:type="neCell">
      <w:rPr>
        <w:b/>
        <w:bCs/>
      </w:rPr>
    </w:tblStylePr>
    <w:tblStylePr w:type="swCell">
      <w:rPr>
        <w:b/>
        <w:bCs/>
      </w:rPr>
    </w:tblStylePr>
  </w:style>
  <w:style w:type="table" w:styleId="1328">
    <w:name w:val="Table Subtle 2"/>
    <w:basedOn w:val="1083"/>
    <w:semiHidden/>
    <w:rPr>
      <w:sz w:val="20"/>
      <w:szCs w:val="20"/>
    </w:rPr>
    <w:tblPr>
      <w:tblBorders>
        <w:left w:val="single" w:color="000000" w:sz="6" w:space="0"/>
        <w:right w:val="single" w:color="000000" w:sz="6" w:space="0"/>
      </w:tblBorders>
    </w:tblPr>
    <w:tblStylePr w:type="firstCol">
      <w:tcPr>
        <w:shd w:val="pct25" w:color="008000" w:fill="ffffff"/>
        <w:tcBorders>
          <w:right w:val="single" w:color="000000" w:sz="12" w:space="0"/>
        </w:tcBorders>
      </w:tcPr>
    </w:tblStylePr>
    <w:tblStylePr w:type="firstRow">
      <w:tcPr>
        <w:tcBorders>
          <w:bottom w:val="single" w:color="000000" w:sz="12" w:space="0"/>
        </w:tcBorders>
      </w:tcPr>
    </w:tblStylePr>
    <w:tblStylePr w:type="lastCol">
      <w:tcPr>
        <w:shd w:val="pct25" w:color="808000" w:fill="ffffff"/>
        <w:tcBorders>
          <w:left w:val="single" w:color="000000" w:sz="12" w:space="0"/>
        </w:tcBorders>
      </w:tcPr>
    </w:tblStylePr>
    <w:tblStylePr w:type="lastRow">
      <w:tcPr>
        <w:tcBorders>
          <w:top w:val="single" w:color="000000" w:sz="12" w:space="0"/>
        </w:tcBorders>
      </w:tcPr>
    </w:tblStylePr>
    <w:tblStylePr w:type="neCell">
      <w:rPr>
        <w:b/>
        <w:bCs/>
      </w:rPr>
    </w:tblStylePr>
    <w:tblStylePr w:type="swCell">
      <w:rPr>
        <w:b/>
        <w:bCs/>
      </w:rPr>
    </w:tblStylePr>
  </w:style>
  <w:style w:type="character" w:styleId="1329">
    <w:name w:val="HTML Keyboard"/>
    <w:semiHidden/>
    <w:rPr>
      <w:rFonts w:ascii="Courier New" w:hAnsi="Courier New" w:cs="Courier New"/>
      <w:sz w:val="20"/>
      <w:szCs w:val="20"/>
    </w:rPr>
  </w:style>
  <w:style w:type="table" w:styleId="1330">
    <w:name w:val="Table Classic 1"/>
    <w:basedOn w:val="1083"/>
    <w:semiHidden/>
    <w:rPr>
      <w:sz w:val="20"/>
      <w:szCs w:val="20"/>
    </w:rPr>
    <w:tblPr>
      <w:tblBorders>
        <w:top w:val="single" w:color="000000" w:sz="12" w:space="0"/>
        <w:bottom w:val="single" w:color="000000" w:sz="12" w:space="0"/>
      </w:tblBorders>
    </w:tblPr>
    <w:tcPr>
      <w:shd w:val="clear" w:color="auto" w:fill="auto"/>
    </w:tc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1331">
    <w:name w:val="Table Classic 2"/>
    <w:basedOn w:val="1083"/>
    <w:semiHidden/>
    <w:rPr>
      <w:sz w:val="20"/>
      <w:szCs w:val="20"/>
    </w:rPr>
    <w:tblPr>
      <w:tblBorders>
        <w:top w:val="single" w:color="000000" w:sz="12" w:space="0"/>
        <w:bottom w:val="single" w:color="000000" w:sz="12" w:space="0"/>
      </w:tblBorders>
    </w:tblPr>
    <w:tcPr>
      <w:shd w:val="clear" w:color="auto" w:fill="auto"/>
    </w:tc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1332">
    <w:name w:val="Table Classic 3"/>
    <w:basedOn w:val="1083"/>
    <w:semiHidden/>
    <w:rPr>
      <w:color w:val="000080"/>
      <w:sz w:val="20"/>
      <w:szCs w:val="2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Col">
      <w:rPr>
        <w:b/>
        <w:bCs/>
        <w:color w:val="000000"/>
      </w:rPr>
    </w:tblStylePr>
    <w:tblStylePr w:type="firstRow">
      <w:rPr>
        <w:b/>
        <w:bCs/>
        <w:i/>
        <w:iCs/>
        <w:color w:val="ffffff"/>
      </w:rPr>
      <w:tcPr>
        <w:shd w:val="solid" w:color="000080" w:fill="ffffff"/>
        <w:tcBorders>
          <w:bottom w:val="single" w:color="000000" w:sz="6" w:space="0"/>
        </w:tcBorders>
      </w:tcPr>
    </w:tblStylePr>
    <w:tblStylePr w:type="lastRow">
      <w:rPr>
        <w:color w:val="000080"/>
      </w:rPr>
      <w:tcPr>
        <w:shd w:val="solid" w:color="ffffff" w:fill="ffffff"/>
        <w:tcBorders>
          <w:top w:val="single" w:color="000000" w:sz="12" w:space="0"/>
        </w:tcBorders>
      </w:tcPr>
    </w:tblStylePr>
  </w:style>
  <w:style w:type="table" w:styleId="1333">
    <w:name w:val="Table Classic 4"/>
    <w:basedOn w:val="1083"/>
    <w:semiHidden/>
    <w:rPr>
      <w:sz w:val="20"/>
      <w:szCs w:val="20"/>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character" w:styleId="1334">
    <w:name w:val="HTML Code"/>
    <w:semiHidden/>
    <w:rPr>
      <w:rFonts w:ascii="Courier New" w:hAnsi="Courier New" w:cs="Courier New"/>
      <w:sz w:val="20"/>
      <w:szCs w:val="20"/>
    </w:rPr>
  </w:style>
  <w:style w:type="paragraph" w:styleId="1335">
    <w:name w:val="Body Text"/>
    <w:basedOn w:val="1072"/>
    <w:link w:val="1336"/>
    <w:semiHidden/>
    <w:pPr>
      <w:spacing w:after="240"/>
    </w:pPr>
  </w:style>
  <w:style w:type="character" w:styleId="1336" w:customStyle="1">
    <w:name w:val="Основной текст Знак"/>
    <w:basedOn w:val="1082"/>
    <w:link w:val="1335"/>
    <w:semiHidden/>
    <w:rPr>
      <w:sz w:val="20"/>
      <w:szCs w:val="20"/>
    </w:rPr>
  </w:style>
  <w:style w:type="paragraph" w:styleId="1337">
    <w:name w:val="Body Text First Indent"/>
    <w:basedOn w:val="1335"/>
    <w:link w:val="1338"/>
    <w:semiHidden/>
    <w:pPr>
      <w:ind w:firstLine="210"/>
      <w:jc w:val="left"/>
      <w:spacing w:after="120"/>
    </w:pPr>
  </w:style>
  <w:style w:type="character" w:styleId="1338" w:customStyle="1">
    <w:name w:val="Красная строка Знак"/>
    <w:basedOn w:val="1336"/>
    <w:link w:val="1337"/>
    <w:semiHidden/>
    <w:rPr>
      <w:sz w:val="20"/>
      <w:szCs w:val="20"/>
    </w:rPr>
  </w:style>
  <w:style w:type="paragraph" w:styleId="1339">
    <w:name w:val="Body Text Indent"/>
    <w:basedOn w:val="1072"/>
    <w:next w:val="1072"/>
    <w:link w:val="1340"/>
    <w:semiHidden/>
    <w:pPr>
      <w:ind w:firstLine="425"/>
      <w:spacing w:line="360" w:lineRule="auto"/>
      <w:widowControl w:val="off"/>
      <w:tabs>
        <w:tab w:val="left" w:pos="1985" w:leader="none"/>
        <w:tab w:val="left" w:pos="2127" w:leader="none"/>
      </w:tabs>
    </w:pPr>
  </w:style>
  <w:style w:type="character" w:styleId="1340" w:customStyle="1">
    <w:name w:val="Основной текст с отступом Знак"/>
    <w:basedOn w:val="1082"/>
    <w:link w:val="1339"/>
    <w:semiHidden/>
    <w:rPr>
      <w:sz w:val="20"/>
      <w:szCs w:val="20"/>
    </w:rPr>
  </w:style>
  <w:style w:type="paragraph" w:styleId="1341">
    <w:name w:val="Body Text First Indent 2"/>
    <w:basedOn w:val="1339"/>
    <w:link w:val="1342"/>
    <w:semiHidden/>
    <w:pPr>
      <w:ind w:left="283" w:firstLine="210"/>
      <w:jc w:val="left"/>
      <w:spacing w:after="120" w:line="240" w:lineRule="auto"/>
      <w:widowControl/>
      <w:tabs>
        <w:tab w:val="clear" w:pos="1985" w:leader="none"/>
        <w:tab w:val="clear" w:pos="2127" w:leader="none"/>
      </w:tabs>
    </w:pPr>
    <w:rPr>
      <w:sz w:val="24"/>
      <w:szCs w:val="24"/>
    </w:rPr>
  </w:style>
  <w:style w:type="character" w:styleId="1342" w:customStyle="1">
    <w:name w:val="Красная строка 2 Знак"/>
    <w:basedOn w:val="1340"/>
    <w:link w:val="1341"/>
    <w:semiHidden/>
    <w:rPr>
      <w:sz w:val="20"/>
      <w:szCs w:val="20"/>
    </w:rPr>
  </w:style>
  <w:style w:type="paragraph" w:styleId="1343">
    <w:name w:val="List Bullet"/>
    <w:basedOn w:val="1072"/>
    <w:semiHidden/>
    <w:pPr>
      <w:ind w:left="720" w:hanging="720"/>
      <w:tabs>
        <w:tab w:val="num" w:pos="720" w:leader="none"/>
      </w:tabs>
    </w:pPr>
  </w:style>
  <w:style w:type="paragraph" w:styleId="1344">
    <w:name w:val="List Bullet 2"/>
    <w:basedOn w:val="1072"/>
    <w:semiHidden/>
    <w:pPr>
      <w:ind w:left="720" w:hanging="720"/>
      <w:tabs>
        <w:tab w:val="num" w:pos="360" w:leader="none"/>
        <w:tab w:val="num" w:pos="720" w:leader="none"/>
      </w:tabs>
    </w:pPr>
  </w:style>
  <w:style w:type="paragraph" w:styleId="1345">
    <w:name w:val="List Bullet 3"/>
    <w:basedOn w:val="1072"/>
    <w:semiHidden/>
    <w:pPr>
      <w:ind w:left="720" w:hanging="720"/>
      <w:spacing w:line="360" w:lineRule="auto"/>
      <w:widowControl w:val="off"/>
      <w:tabs>
        <w:tab w:val="num" w:pos="360" w:leader="none"/>
        <w:tab w:val="num" w:pos="720" w:leader="none"/>
        <w:tab w:val="left" w:pos="1985" w:leader="none"/>
        <w:tab w:val="left" w:pos="2127" w:leader="none"/>
      </w:tabs>
    </w:pPr>
  </w:style>
  <w:style w:type="paragraph" w:styleId="1346">
    <w:name w:val="List Bullet 4"/>
    <w:basedOn w:val="1072"/>
    <w:semiHidden/>
    <w:pPr>
      <w:ind w:left="720" w:hanging="720"/>
      <w:tabs>
        <w:tab w:val="num" w:pos="360" w:leader="none"/>
        <w:tab w:val="num" w:pos="720" w:leader="none"/>
      </w:tabs>
    </w:pPr>
  </w:style>
  <w:style w:type="paragraph" w:styleId="1347">
    <w:name w:val="List Bullet 5"/>
    <w:basedOn w:val="1072"/>
    <w:semiHidden/>
    <w:pPr>
      <w:ind w:left="720" w:hanging="720"/>
      <w:tabs>
        <w:tab w:val="num" w:pos="360" w:leader="none"/>
        <w:tab w:val="num" w:pos="720" w:leader="none"/>
      </w:tabs>
    </w:pPr>
  </w:style>
  <w:style w:type="paragraph" w:styleId="1348">
    <w:name w:val="Caption"/>
    <w:basedOn w:val="1072"/>
    <w:next w:val="1072"/>
    <w:link w:val="1113"/>
    <w:qFormat/>
    <w:rPr>
      <w:b/>
      <w:bCs/>
    </w:rPr>
  </w:style>
  <w:style w:type="paragraph" w:styleId="1349">
    <w:name w:val="Footer"/>
    <w:basedOn w:val="1072"/>
    <w:link w:val="1350"/>
    <w:semiHidden/>
    <w:pPr>
      <w:tabs>
        <w:tab w:val="center" w:pos="4677" w:leader="none"/>
        <w:tab w:val="right" w:pos="9355" w:leader="none"/>
      </w:tabs>
    </w:pPr>
  </w:style>
  <w:style w:type="character" w:styleId="1350" w:customStyle="1">
    <w:name w:val="Нижний колонтитул Знак"/>
    <w:basedOn w:val="1082"/>
    <w:link w:val="1349"/>
    <w:semiHidden/>
    <w:rPr>
      <w:sz w:val="20"/>
      <w:szCs w:val="20"/>
    </w:rPr>
  </w:style>
  <w:style w:type="character" w:styleId="1351">
    <w:name w:val="page number"/>
    <w:basedOn w:val="1082"/>
    <w:semiHidden/>
  </w:style>
  <w:style w:type="character" w:styleId="1352">
    <w:name w:val="line number"/>
    <w:basedOn w:val="1082"/>
    <w:semiHidden/>
  </w:style>
  <w:style w:type="paragraph" w:styleId="1353">
    <w:name w:val="List Number 2"/>
    <w:basedOn w:val="1072"/>
    <w:semiHidden/>
    <w:pPr>
      <w:ind w:left="720" w:hanging="720"/>
      <w:tabs>
        <w:tab w:val="num" w:pos="360" w:leader="none"/>
        <w:tab w:val="num" w:pos="720" w:leader="none"/>
      </w:tabs>
    </w:pPr>
  </w:style>
  <w:style w:type="paragraph" w:styleId="1354">
    <w:name w:val="List Number 3"/>
    <w:basedOn w:val="1072"/>
    <w:semiHidden/>
    <w:pPr>
      <w:ind w:left="720" w:hanging="720"/>
      <w:tabs>
        <w:tab w:val="num" w:pos="360" w:leader="none"/>
        <w:tab w:val="num" w:pos="720" w:leader="none"/>
      </w:tabs>
    </w:pPr>
  </w:style>
  <w:style w:type="paragraph" w:styleId="1355">
    <w:name w:val="List Number 4"/>
    <w:basedOn w:val="1072"/>
    <w:semiHidden/>
    <w:pPr>
      <w:ind w:left="720" w:hanging="720"/>
      <w:tabs>
        <w:tab w:val="num" w:pos="360" w:leader="none"/>
        <w:tab w:val="num" w:pos="720" w:leader="none"/>
      </w:tabs>
    </w:pPr>
  </w:style>
  <w:style w:type="paragraph" w:styleId="1356">
    <w:name w:val="List Number 5"/>
    <w:basedOn w:val="1072"/>
    <w:semiHidden/>
    <w:pPr>
      <w:ind w:left="720" w:hanging="720"/>
      <w:tabs>
        <w:tab w:val="num" w:pos="360" w:leader="none"/>
        <w:tab w:val="num" w:pos="720" w:leader="none"/>
      </w:tabs>
    </w:pPr>
  </w:style>
  <w:style w:type="paragraph" w:styleId="1357">
    <w:name w:val="List Number"/>
    <w:basedOn w:val="1072"/>
    <w:semiHidden/>
    <w:pPr>
      <w:ind w:left="720" w:hanging="720"/>
      <w:tabs>
        <w:tab w:val="num" w:pos="720" w:leader="none"/>
      </w:tabs>
    </w:pPr>
  </w:style>
  <w:style w:type="character" w:styleId="1358">
    <w:name w:val="HTML Sample"/>
    <w:semiHidden/>
    <w:rPr>
      <w:rFonts w:ascii="Courier New" w:hAnsi="Courier New" w:cs="Courier New"/>
    </w:rPr>
  </w:style>
  <w:style w:type="paragraph" w:styleId="1359">
    <w:name w:val="envelope return"/>
    <w:basedOn w:val="1072"/>
    <w:semiHidden/>
    <w:rPr>
      <w:rFonts w:ascii="Arial" w:hAnsi="Arial" w:cs="Arial"/>
    </w:rPr>
  </w:style>
  <w:style w:type="table" w:styleId="1360">
    <w:name w:val="Table 3D effects 1"/>
    <w:basedOn w:val="1083"/>
    <w:semiHidden/>
    <w:rPr>
      <w:sz w:val="20"/>
      <w:szCs w:val="20"/>
    </w:rPr>
    <w:tblPr/>
    <w:tcPr>
      <w:shd w:val="solid" w:color="c0c0c0" w:fill="ffffff"/>
    </w:tcPr>
    <w:tblStylePr w:type="firstCol">
      <w:rPr>
        <w:b/>
        <w:bCs/>
      </w:rPr>
      <w:tcPr>
        <w:tcBorders>
          <w:right w:val="single" w:color="808080" w:sz="6" w:space="0"/>
        </w:tcBorders>
      </w:tcPr>
    </w:tblStylePr>
    <w:tblStylePr w:type="firstRow">
      <w:rPr>
        <w:b/>
        <w:bCs/>
        <w:color w:val="800080"/>
      </w:rPr>
      <w:tcPr>
        <w:tcBorders>
          <w:bottom w:val="single" w:color="808080" w:sz="6" w:space="0"/>
        </w:tcBorders>
      </w:tcPr>
    </w:tblStylePr>
    <w:tblStylePr w:type="lastCol">
      <w:tcPr>
        <w:tcBorders>
          <w:left w:val="single" w:color="FFFFFF" w:sz="6" w:space="0"/>
        </w:tcBorders>
      </w:tcPr>
    </w:tblStylePr>
    <w:tblStylePr w:type="lastRow">
      <w:tcPr>
        <w:tcBorders>
          <w:top w:val="single" w:color="FFFFFF" w:sz="6" w:space="0"/>
        </w:tcBorders>
      </w:tcPr>
    </w:tblStylePr>
    <w:tblStylePr w:type="nwCell">
      <w:tcPr>
        <w:tcBorders>
          <w:bottom w:val="none" w:color="000000" w:sz="0" w:space="0"/>
          <w:right w:val="none" w:color="000000" w:sz="0" w:space="0"/>
        </w:tcBorders>
      </w:tcPr>
    </w:tblStylePr>
    <w:tblStylePr w:type="neCell">
      <w:tcPr>
        <w:tcBorders>
          <w:left w:val="none" w:color="000000" w:sz="0" w:space="0"/>
          <w:bottom w:val="none" w:color="000000" w:sz="0" w:space="0"/>
        </w:tcBorders>
      </w:tcPr>
    </w:tblStylePr>
    <w:tblStylePr w:type="swCell">
      <w:rPr>
        <w:color w:val="000080"/>
      </w:rPr>
      <w:tcPr>
        <w:tcBorders>
          <w:top w:val="none" w:color="000000" w:sz="0" w:space="0"/>
          <w:right w:val="none" w:color="000000" w:sz="0" w:space="0"/>
        </w:tcBorders>
      </w:tcPr>
    </w:tblStylePr>
    <w:tblStylePr w:type="seCell">
      <w:tcPr>
        <w:tcBorders>
          <w:top w:val="none" w:color="000000" w:sz="0" w:space="0"/>
          <w:left w:val="none" w:color="000000" w:sz="0" w:space="0"/>
        </w:tcBorders>
      </w:tcPr>
    </w:tblStylePr>
  </w:style>
  <w:style w:type="table" w:styleId="1361">
    <w:name w:val="Table 3D effects 2"/>
    <w:basedOn w:val="1083"/>
    <w:semiHidden/>
    <w:rPr>
      <w:sz w:val="20"/>
      <w:szCs w:val="20"/>
    </w:rPr>
    <w:tblPr>
      <w:tblStyleRowBandSize w:val="1"/>
    </w:tblPr>
    <w:tcPr>
      <w:shd w:val="solid" w:color="c0c0c0" w:fill="ffffff"/>
    </w:tcPr>
    <w:tblStylePr w:type="band1Horz">
      <w:tcPr>
        <w:tcBorders>
          <w:top w:val="single" w:color="808080" w:sz="6" w:space="0"/>
          <w:bottom w:val="single" w:color="FFFFFF" w:sz="6" w:space="0"/>
        </w:tcBorders>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1362">
    <w:name w:val="Table 3D effects 3"/>
    <w:basedOn w:val="1083"/>
    <w:semiHidden/>
    <w:rPr>
      <w:sz w:val="20"/>
      <w:szCs w:val="20"/>
    </w:rPr>
    <w:tblPr>
      <w:tblStyleRowBandSize w:val="1"/>
      <w:tblStyleColBandSize w:val="1"/>
    </w:tblPr>
    <w:tblStylePr w:type="band1Horz">
      <w:tcPr>
        <w:tcBorders>
          <w:top w:val="single" w:color="808080" w:sz="6" w:space="0"/>
          <w:bottom w:val="single" w:color="FFFFFF" w:sz="6" w:space="0"/>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paragraph" w:styleId="1363">
    <w:name w:val="Normal (Web)"/>
    <w:basedOn w:val="1072"/>
    <w:semiHidden/>
  </w:style>
  <w:style w:type="paragraph" w:styleId="1364">
    <w:name w:val="Normal Indent"/>
    <w:basedOn w:val="1072"/>
    <w:semiHidden/>
    <w:pPr>
      <w:ind w:left="708"/>
    </w:pPr>
  </w:style>
  <w:style w:type="paragraph" w:styleId="1365">
    <w:name w:val="toc 1"/>
    <w:uiPriority w:val="39"/>
    <w:semiHidden/>
    <w:pPr>
      <w:ind w:left="454" w:right="567" w:hanging="454"/>
      <w:spacing w:before="60" w:after="60"/>
      <w:tabs>
        <w:tab w:val="left" w:pos="454" w:leader="none"/>
        <w:tab w:val="right" w:pos="9631" w:leader="dot"/>
      </w:tabs>
    </w:pPr>
    <w:rPr>
      <w:b/>
      <w:bCs/>
      <w:caps/>
    </w:rPr>
  </w:style>
  <w:style w:type="paragraph" w:styleId="1366">
    <w:name w:val="toc 2"/>
    <w:basedOn w:val="1365"/>
    <w:uiPriority w:val="39"/>
    <w:semiHidden/>
    <w:pPr>
      <w:contextualSpacing/>
      <w:ind w:left="851" w:hanging="567"/>
      <w:tabs>
        <w:tab w:val="clear" w:pos="454" w:leader="none"/>
        <w:tab w:val="left" w:pos="851" w:leader="none"/>
      </w:tabs>
    </w:pPr>
    <w:rPr>
      <w:b w:val="0"/>
      <w:caps w:val="0"/>
    </w:rPr>
  </w:style>
  <w:style w:type="paragraph" w:styleId="1367">
    <w:name w:val="toc 3"/>
    <w:basedOn w:val="1366"/>
    <w:uiPriority w:val="39"/>
    <w:semiHidden/>
    <w:pPr>
      <w:ind w:left="1418" w:hanging="851"/>
      <w:tabs>
        <w:tab w:val="clear" w:pos="851" w:leader="none"/>
        <w:tab w:val="left" w:pos="1418" w:leader="none"/>
      </w:tabs>
    </w:pPr>
    <w:rPr>
      <w:iCs/>
    </w:rPr>
  </w:style>
  <w:style w:type="paragraph" w:styleId="1368">
    <w:name w:val="toc 4"/>
    <w:basedOn w:val="1072"/>
    <w:next w:val="1072"/>
    <w:uiPriority w:val="39"/>
    <w:semiHidden/>
    <w:pPr>
      <w:ind w:left="1872" w:right="567" w:hanging="1021"/>
      <w:tabs>
        <w:tab w:val="left" w:pos="1871" w:leader="none"/>
        <w:tab w:val="right" w:pos="9633" w:leader="dot"/>
      </w:tabs>
    </w:pPr>
  </w:style>
  <w:style w:type="paragraph" w:styleId="1369">
    <w:name w:val="toc 5"/>
    <w:basedOn w:val="1072"/>
    <w:next w:val="1072"/>
    <w:uiPriority w:val="39"/>
    <w:semiHidden/>
    <w:pPr>
      <w:ind w:left="2410" w:right="567" w:hanging="1276"/>
      <w:jc w:val="left"/>
      <w:tabs>
        <w:tab w:val="left" w:pos="2410" w:leader="none"/>
        <w:tab w:val="right" w:pos="9631" w:leader="dot"/>
      </w:tabs>
    </w:pPr>
    <w:rPr>
      <w:sz w:val="18"/>
      <w:szCs w:val="18"/>
    </w:rPr>
  </w:style>
  <w:style w:type="paragraph" w:styleId="1370">
    <w:name w:val="toc 6"/>
    <w:basedOn w:val="1072"/>
    <w:next w:val="1072"/>
    <w:semiHidden/>
    <w:pPr>
      <w:ind w:left="1200"/>
      <w:jc w:val="left"/>
    </w:pPr>
    <w:rPr>
      <w:sz w:val="18"/>
      <w:szCs w:val="18"/>
    </w:rPr>
  </w:style>
  <w:style w:type="paragraph" w:styleId="1371">
    <w:name w:val="toc 7"/>
    <w:basedOn w:val="1072"/>
    <w:next w:val="1072"/>
    <w:semiHidden/>
    <w:pPr>
      <w:ind w:left="1440"/>
      <w:jc w:val="left"/>
    </w:pPr>
    <w:rPr>
      <w:sz w:val="18"/>
      <w:szCs w:val="18"/>
    </w:rPr>
  </w:style>
  <w:style w:type="paragraph" w:styleId="1372">
    <w:name w:val="toc 8"/>
    <w:basedOn w:val="1072"/>
    <w:next w:val="1072"/>
    <w:semiHidden/>
    <w:pPr>
      <w:ind w:left="1680"/>
      <w:jc w:val="left"/>
    </w:pPr>
    <w:rPr>
      <w:sz w:val="18"/>
      <w:szCs w:val="18"/>
    </w:rPr>
  </w:style>
  <w:style w:type="paragraph" w:styleId="1373">
    <w:name w:val="toc 9"/>
    <w:basedOn w:val="1072"/>
    <w:next w:val="1072"/>
    <w:semiHidden/>
    <w:pPr>
      <w:ind w:left="1920"/>
      <w:jc w:val="left"/>
    </w:pPr>
    <w:rPr>
      <w:sz w:val="18"/>
      <w:szCs w:val="18"/>
    </w:rPr>
  </w:style>
  <w:style w:type="character" w:styleId="1374">
    <w:name w:val="HTML Definition"/>
    <w:semiHidden/>
    <w:rPr>
      <w:i/>
      <w:iCs/>
    </w:rPr>
  </w:style>
  <w:style w:type="paragraph" w:styleId="1375">
    <w:name w:val="Body Text 2"/>
    <w:basedOn w:val="1072"/>
    <w:link w:val="1376"/>
    <w:semiHidden/>
    <w:pPr>
      <w:spacing w:after="120" w:line="480" w:lineRule="auto"/>
    </w:pPr>
  </w:style>
  <w:style w:type="character" w:styleId="1376" w:customStyle="1">
    <w:name w:val="Основной текст 2 Знак"/>
    <w:basedOn w:val="1082"/>
    <w:link w:val="1375"/>
    <w:semiHidden/>
    <w:rPr>
      <w:sz w:val="20"/>
      <w:szCs w:val="20"/>
    </w:rPr>
  </w:style>
  <w:style w:type="paragraph" w:styleId="1377">
    <w:name w:val="Body Text 3"/>
    <w:basedOn w:val="1072"/>
    <w:link w:val="1378"/>
    <w:semiHidden/>
    <w:pPr>
      <w:spacing w:after="120"/>
    </w:pPr>
    <w:rPr>
      <w:sz w:val="16"/>
      <w:szCs w:val="16"/>
    </w:rPr>
  </w:style>
  <w:style w:type="character" w:styleId="1378" w:customStyle="1">
    <w:name w:val="Основной текст 3 Знак"/>
    <w:basedOn w:val="1082"/>
    <w:link w:val="1377"/>
    <w:semiHidden/>
    <w:rPr>
      <w:sz w:val="16"/>
      <w:szCs w:val="16"/>
    </w:rPr>
  </w:style>
  <w:style w:type="paragraph" w:styleId="1379">
    <w:name w:val="Body Text Indent 2"/>
    <w:basedOn w:val="1072"/>
    <w:link w:val="1380"/>
    <w:semiHidden/>
    <w:pPr>
      <w:ind w:firstLine="425"/>
      <w:spacing w:line="360" w:lineRule="auto"/>
      <w:widowControl w:val="off"/>
      <w:tabs>
        <w:tab w:val="left" w:pos="1985" w:leader="none"/>
        <w:tab w:val="left" w:pos="2127" w:leader="none"/>
      </w:tabs>
    </w:pPr>
    <w:rPr>
      <w:b/>
    </w:rPr>
  </w:style>
  <w:style w:type="character" w:styleId="1380" w:customStyle="1">
    <w:name w:val="Основной текст с отступом 2 Знак"/>
    <w:basedOn w:val="1082"/>
    <w:link w:val="1379"/>
    <w:semiHidden/>
    <w:rPr>
      <w:b/>
      <w:sz w:val="20"/>
      <w:szCs w:val="20"/>
    </w:rPr>
  </w:style>
  <w:style w:type="paragraph" w:styleId="1381">
    <w:name w:val="Body Text Indent 3"/>
    <w:basedOn w:val="1072"/>
    <w:link w:val="1382"/>
    <w:semiHidden/>
    <w:pPr>
      <w:ind w:left="283"/>
      <w:spacing w:after="120"/>
    </w:pPr>
    <w:rPr>
      <w:sz w:val="16"/>
      <w:szCs w:val="16"/>
    </w:rPr>
  </w:style>
  <w:style w:type="character" w:styleId="1382" w:customStyle="1">
    <w:name w:val="Основной текст с отступом 3 Знак"/>
    <w:basedOn w:val="1082"/>
    <w:link w:val="1381"/>
    <w:semiHidden/>
    <w:rPr>
      <w:sz w:val="16"/>
      <w:szCs w:val="16"/>
    </w:rPr>
  </w:style>
  <w:style w:type="character" w:styleId="1383">
    <w:name w:val="HTML Variable"/>
    <w:semiHidden/>
    <w:rPr>
      <w:i/>
      <w:iCs/>
    </w:rPr>
  </w:style>
  <w:style w:type="paragraph" w:styleId="1384">
    <w:name w:val="table of figures"/>
    <w:basedOn w:val="1072"/>
    <w:next w:val="1267"/>
    <w:uiPriority w:val="99"/>
    <w:pPr>
      <w:contextualSpacing/>
      <w:ind w:left="567" w:right="567" w:hanging="567"/>
      <w:jc w:val="left"/>
      <w:spacing w:before="120" w:after="120"/>
      <w:tabs>
        <w:tab w:val="left" w:pos="567" w:leader="dot"/>
        <w:tab w:val="left" w:pos="1134" w:leader="none"/>
        <w:tab w:val="right" w:pos="9631" w:leader="dot"/>
      </w:tabs>
    </w:pPr>
  </w:style>
  <w:style w:type="character" w:styleId="1385">
    <w:name w:val="HTML Typewriter"/>
    <w:semiHidden/>
    <w:rPr>
      <w:rFonts w:ascii="Courier New" w:hAnsi="Courier New" w:cs="Courier New"/>
      <w:sz w:val="20"/>
      <w:szCs w:val="20"/>
    </w:rPr>
  </w:style>
  <w:style w:type="paragraph" w:styleId="1386">
    <w:name w:val="Signature"/>
    <w:basedOn w:val="1072"/>
    <w:link w:val="1387"/>
    <w:semiHidden/>
    <w:pPr>
      <w:ind w:left="4252"/>
    </w:pPr>
  </w:style>
  <w:style w:type="character" w:styleId="1387" w:customStyle="1">
    <w:name w:val="Подпись Знак"/>
    <w:basedOn w:val="1082"/>
    <w:link w:val="1386"/>
    <w:semiHidden/>
    <w:rPr>
      <w:sz w:val="20"/>
      <w:szCs w:val="20"/>
    </w:rPr>
  </w:style>
  <w:style w:type="paragraph" w:styleId="1388">
    <w:name w:val="Salutation"/>
    <w:basedOn w:val="1072"/>
    <w:next w:val="1072"/>
    <w:link w:val="1389"/>
    <w:semiHidden/>
  </w:style>
  <w:style w:type="character" w:styleId="1389" w:customStyle="1">
    <w:name w:val="Приветствие Знак"/>
    <w:basedOn w:val="1082"/>
    <w:link w:val="1388"/>
    <w:semiHidden/>
    <w:rPr>
      <w:sz w:val="20"/>
      <w:szCs w:val="20"/>
    </w:rPr>
  </w:style>
  <w:style w:type="paragraph" w:styleId="1390">
    <w:name w:val="List Continue"/>
    <w:basedOn w:val="1072"/>
    <w:semiHidden/>
    <w:pPr>
      <w:ind w:left="283"/>
      <w:spacing w:after="120"/>
    </w:pPr>
  </w:style>
  <w:style w:type="paragraph" w:styleId="1391">
    <w:name w:val="List Continue 2"/>
    <w:basedOn w:val="1072"/>
    <w:semiHidden/>
    <w:pPr>
      <w:ind w:left="566"/>
      <w:spacing w:after="120"/>
    </w:pPr>
  </w:style>
  <w:style w:type="paragraph" w:styleId="1392">
    <w:name w:val="List Continue 3"/>
    <w:basedOn w:val="1072"/>
    <w:semiHidden/>
    <w:pPr>
      <w:ind w:left="849"/>
      <w:spacing w:after="120"/>
    </w:pPr>
  </w:style>
  <w:style w:type="paragraph" w:styleId="1393">
    <w:name w:val="List Continue 4"/>
    <w:basedOn w:val="1072"/>
    <w:semiHidden/>
    <w:pPr>
      <w:ind w:left="1132"/>
      <w:spacing w:after="120"/>
    </w:pPr>
  </w:style>
  <w:style w:type="paragraph" w:styleId="1394">
    <w:name w:val="List Continue 5"/>
    <w:basedOn w:val="1072"/>
    <w:semiHidden/>
    <w:pPr>
      <w:ind w:left="1415"/>
      <w:spacing w:after="120"/>
    </w:pPr>
  </w:style>
  <w:style w:type="character" w:styleId="1395">
    <w:name w:val="FollowedHyperlink"/>
    <w:semiHidden/>
    <w:rPr>
      <w:color w:val="800080"/>
      <w:u w:val="single"/>
    </w:rPr>
  </w:style>
  <w:style w:type="table" w:styleId="1396">
    <w:name w:val="Table Simple 1"/>
    <w:basedOn w:val="1083"/>
    <w:semiHidden/>
    <w:rPr>
      <w:sz w:val="20"/>
      <w:szCs w:val="20"/>
    </w:rPr>
    <w:tblPr>
      <w:tblBorders>
        <w:top w:val="single" w:color="008000" w:sz="12" w:space="0"/>
        <w:bottom w:val="single" w:color="008000" w:sz="12" w:space="0"/>
      </w:tblBorders>
    </w:tblPr>
    <w:tcPr>
      <w:shd w:val="clear" w:color="auto" w:fill="auto"/>
    </w:tcPr>
    <w:tblStylePr w:type="firstRow">
      <w:tcPr>
        <w:tcBorders>
          <w:bottom w:val="single" w:color="008000" w:sz="6" w:space="0"/>
        </w:tcBorders>
      </w:tcPr>
    </w:tblStylePr>
    <w:tblStylePr w:type="lastRow">
      <w:tcPr>
        <w:tcBorders>
          <w:top w:val="single" w:color="008000" w:sz="6" w:space="0"/>
        </w:tcBorders>
      </w:tcPr>
    </w:tblStylePr>
  </w:style>
  <w:style w:type="table" w:styleId="1397">
    <w:name w:val="Table Simple 2"/>
    <w:basedOn w:val="1083"/>
    <w:semiHidden/>
    <w:rPr>
      <w:sz w:val="20"/>
      <w:szCs w:val="20"/>
    </w:rPr>
    <w:tblPr/>
    <w:tblStylePr w:type="firstCol">
      <w:rPr>
        <w:b/>
        <w:bCs/>
      </w:rPr>
      <w:tcPr>
        <w:tcBorders>
          <w:right w:val="single" w:color="000000" w:sz="12" w:space="0"/>
        </w:tcBorders>
      </w:tcPr>
    </w:tblStylePr>
    <w:tblStylePr w:type="firstRow">
      <w:rPr>
        <w:b/>
        <w:bCs/>
      </w:rPr>
      <w:tcPr>
        <w:tcBorders>
          <w:bottom w:val="single" w:color="000000" w:sz="12" w:space="0"/>
        </w:tcBorders>
      </w:tcPr>
    </w:tblStylePr>
    <w:tblStylePr w:type="lastCol">
      <w:rPr>
        <w:b/>
        <w:bCs/>
      </w:rPr>
      <w:tcPr>
        <w:tcBorders>
          <w:left w:val="single" w:color="000000" w:sz="6" w:space="0"/>
        </w:tcBorders>
      </w:tcPr>
    </w:tblStylePr>
    <w:tblStylePr w:type="lastRow">
      <w:rPr>
        <w:b/>
        <w:bCs/>
        <w:color w:val="auto"/>
      </w:rPr>
      <w:tcPr>
        <w:tcBorders>
          <w:top w:val="single" w:color="000000" w:sz="6" w:space="0"/>
        </w:tcBorders>
      </w:tcPr>
    </w:tblStylePr>
    <w:tblStylePr w:type="neCell">
      <w:rPr>
        <w:b/>
        <w:bCs/>
      </w:rPr>
      <w:tcPr>
        <w:tcBorders>
          <w:left w:val="none" w:color="000000" w:sz="0" w:space="0"/>
        </w:tcBorders>
      </w:tcPr>
    </w:tblStylePr>
    <w:tblStylePr w:type="swCell">
      <w:rPr>
        <w:b/>
        <w:bCs/>
      </w:rPr>
      <w:tcPr>
        <w:tcBorders>
          <w:top w:val="none" w:color="000000" w:sz="0" w:space="0"/>
        </w:tcBorders>
      </w:tcPr>
    </w:tblStylePr>
  </w:style>
  <w:style w:type="table" w:styleId="1398">
    <w:name w:val="Table Simple 3"/>
    <w:basedOn w:val="1083"/>
    <w:semiHidden/>
    <w:rPr>
      <w:sz w:val="20"/>
      <w:szCs w:val="20"/>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cPr>
        <w:shd w:val="solid" w:color="000000" w:fill="ffffff"/>
      </w:tcPr>
    </w:tblStylePr>
  </w:style>
  <w:style w:type="table" w:styleId="1399">
    <w:name w:val="Table Grid"/>
    <w:basedOn w:val="1083"/>
    <w:rPr>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00">
    <w:name w:val="Table Grid 1"/>
    <w:basedOn w:val="1083"/>
    <w:semiHidden/>
    <w:rPr>
      <w:sz w:val="20"/>
      <w:szCs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Col">
      <w:rPr>
        <w:i/>
        <w:iCs/>
      </w:rPr>
    </w:tblStylePr>
    <w:tblStylePr w:type="lastRow">
      <w:rPr>
        <w:i/>
        <w:iCs/>
      </w:rPr>
    </w:tblStylePr>
  </w:style>
  <w:style w:type="table" w:styleId="1401">
    <w:name w:val="Table Grid 2"/>
    <w:basedOn w:val="1083"/>
    <w:semiHidden/>
    <w:rPr>
      <w:sz w:val="20"/>
      <w:szCs w:val="20"/>
    </w:rPr>
    <w:tblPr>
      <w:tblBorders>
        <w:insideH w:val="single" w:color="000000" w:sz="6" w:space="0"/>
        <w:insideV w:val="single" w:color="000000" w:sz="6" w:space="0"/>
      </w:tblBorders>
    </w:tblPr>
    <w:tcPr>
      <w:shd w:val="clear" w:color="auto" w:fill="auto"/>
    </w:tc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1402">
    <w:name w:val="Table Grid 3"/>
    <w:basedOn w:val="1083"/>
    <w:semiHidden/>
    <w:rPr>
      <w:sz w:val="20"/>
      <w:szCs w:val="20"/>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1403">
    <w:name w:val="Table Grid 4"/>
    <w:basedOn w:val="1083"/>
    <w:semiHidden/>
    <w:rPr>
      <w:sz w:val="20"/>
      <w:szCs w:val="20"/>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1404">
    <w:name w:val="Table Grid 5"/>
    <w:basedOn w:val="1083"/>
    <w:semiHidden/>
    <w:rPr>
      <w:sz w:val="20"/>
      <w:szCs w:val="20"/>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cPr>
        <w:tcBorders>
          <w:bottom w:val="single" w:color="000000" w:sz="12" w:space="0"/>
        </w:tcBorders>
      </w:tcPr>
    </w:tblStylePr>
    <w:tblStylePr w:type="lastCol">
      <w:rPr>
        <w:b/>
        <w:bCs/>
      </w:rPr>
    </w:tblStylePr>
    <w:tblStylePr w:type="lastRow">
      <w:rPr>
        <w:b/>
        <w:bCs/>
      </w:rPr>
    </w:tblStylePr>
  </w:style>
  <w:style w:type="table" w:styleId="1405">
    <w:name w:val="Table Grid 6"/>
    <w:basedOn w:val="1083"/>
    <w:semiHidden/>
    <w:rPr>
      <w:sz w:val="20"/>
      <w:szCs w:val="20"/>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1406">
    <w:name w:val="Table Grid 7"/>
    <w:basedOn w:val="1083"/>
    <w:semiHidden/>
    <w:rPr>
      <w:b/>
      <w:bCs/>
      <w:sz w:val="20"/>
      <w:szCs w:val="20"/>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1407">
    <w:name w:val="Table Grid 8"/>
    <w:basedOn w:val="1083"/>
    <w:semiHidden/>
    <w:rPr>
      <w:sz w:val="20"/>
      <w:szCs w:val="20"/>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1408">
    <w:name w:val="Table Contemporary"/>
    <w:basedOn w:val="1083"/>
    <w:semiHidden/>
    <w:rPr>
      <w:sz w:val="20"/>
      <w:szCs w:val="20"/>
    </w:rPr>
    <w:tblPr>
      <w:tblStyleRowBandSize w:val="1"/>
      <w:tblBorders>
        <w:insideH w:val="single" w:color="FFFFFF" w:sz="18" w:space="0"/>
        <w:insideV w:val="single" w:color="FFFFFF" w:sz="18" w:space="0"/>
      </w:tblBorders>
    </w:tblPr>
    <w:tblStylePr w:type="band1Horz">
      <w:rPr>
        <w:color w:val="auto"/>
      </w:rPr>
      <w:tcPr>
        <w:shd w:val="pct5" w:color="000000" w:fill="ffffff"/>
      </w:tcPr>
    </w:tblStylePr>
    <w:tblStylePr w:type="band2Horz">
      <w:rPr>
        <w:color w:val="auto"/>
      </w:rPr>
      <w:tcPr>
        <w:shd w:val="pct20" w:color="000000" w:fill="ffffff"/>
      </w:tcPr>
    </w:tblStylePr>
    <w:tblStylePr w:type="firstRow">
      <w:rPr>
        <w:b/>
        <w:bCs/>
        <w:color w:val="auto"/>
      </w:rPr>
      <w:tcPr>
        <w:shd w:val="pct20" w:color="000000" w:fill="ffffff"/>
      </w:tcPr>
    </w:tblStylePr>
  </w:style>
  <w:style w:type="paragraph" w:styleId="1409">
    <w:name w:val="List"/>
    <w:basedOn w:val="1072"/>
    <w:semiHidden/>
    <w:pPr>
      <w:ind w:left="283" w:hanging="283"/>
    </w:pPr>
  </w:style>
  <w:style w:type="paragraph" w:styleId="1410">
    <w:name w:val="List 2"/>
    <w:basedOn w:val="1072"/>
    <w:semiHidden/>
    <w:pPr>
      <w:ind w:left="566" w:hanging="283"/>
    </w:pPr>
  </w:style>
  <w:style w:type="paragraph" w:styleId="1411">
    <w:name w:val="List 3"/>
    <w:basedOn w:val="1072"/>
    <w:semiHidden/>
    <w:pPr>
      <w:ind w:left="849" w:hanging="283"/>
    </w:pPr>
  </w:style>
  <w:style w:type="paragraph" w:styleId="1412">
    <w:name w:val="List 4"/>
    <w:basedOn w:val="1072"/>
    <w:semiHidden/>
    <w:pPr>
      <w:ind w:left="1132" w:hanging="283"/>
    </w:pPr>
  </w:style>
  <w:style w:type="paragraph" w:styleId="1413">
    <w:name w:val="List 5"/>
    <w:basedOn w:val="1072"/>
    <w:semiHidden/>
    <w:pPr>
      <w:ind w:left="1415" w:hanging="283"/>
    </w:pPr>
  </w:style>
  <w:style w:type="table" w:styleId="1414">
    <w:name w:val="Table Professional"/>
    <w:basedOn w:val="1083"/>
    <w:semiHidden/>
    <w:rPr>
      <w:sz w:val="20"/>
      <w:szCs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paragraph" w:styleId="1415">
    <w:name w:val="HTML Preformatted"/>
    <w:basedOn w:val="1072"/>
    <w:link w:val="1416"/>
    <w:semiHidden/>
    <w:rPr>
      <w:rFonts w:ascii="Courier New" w:hAnsi="Courier New" w:cs="Courier New"/>
    </w:rPr>
  </w:style>
  <w:style w:type="character" w:styleId="1416" w:customStyle="1">
    <w:name w:val="Стандартный HTML Знак"/>
    <w:basedOn w:val="1082"/>
    <w:link w:val="1415"/>
    <w:semiHidden/>
    <w:rPr>
      <w:rFonts w:ascii="Courier New" w:hAnsi="Courier New" w:cs="Courier New"/>
      <w:sz w:val="20"/>
      <w:szCs w:val="20"/>
    </w:rPr>
  </w:style>
  <w:style w:type="numbering" w:styleId="1417">
    <w:name w:val="Outline List 3"/>
    <w:basedOn w:val="1084"/>
    <w:semiHidden/>
  </w:style>
  <w:style w:type="table" w:styleId="1418">
    <w:name w:val="Table Columns 1"/>
    <w:basedOn w:val="1083"/>
    <w:semiHidden/>
    <w:rPr>
      <w:b/>
      <w:bCs/>
      <w:sz w:val="20"/>
      <w:szCs w:val="20"/>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1419">
    <w:name w:val="Table Columns 2"/>
    <w:basedOn w:val="1083"/>
    <w:semiHidden/>
    <w:rPr>
      <w:b/>
      <w:bCs/>
      <w:sz w:val="20"/>
      <w:szCs w:val="20"/>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1420">
    <w:name w:val="Table Columns 3"/>
    <w:basedOn w:val="1083"/>
    <w:semiHidden/>
    <w:rPr>
      <w:b/>
      <w:bCs/>
      <w:sz w:val="20"/>
      <w:szCs w:val="20"/>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1421">
    <w:name w:val="Table Columns 4"/>
    <w:basedOn w:val="1083"/>
    <w:semiHidden/>
    <w:rPr>
      <w:sz w:val="20"/>
      <w:szCs w:val="20"/>
    </w:rPr>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1422">
    <w:name w:val="Table Columns 5"/>
    <w:basedOn w:val="1083"/>
    <w:semiHidden/>
    <w:rPr>
      <w:sz w:val="20"/>
      <w:szCs w:val="20"/>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character" w:styleId="1423">
    <w:name w:val="Strong"/>
    <w:qFormat/>
    <w:rPr>
      <w:b/>
      <w:bCs/>
    </w:rPr>
  </w:style>
  <w:style w:type="paragraph" w:styleId="1424">
    <w:name w:val="Document Map"/>
    <w:basedOn w:val="1072"/>
    <w:link w:val="1425"/>
    <w:semiHidden/>
    <w:pPr>
      <w:shd w:val="clear" w:color="auto" w:fill="000080"/>
    </w:pPr>
    <w:rPr>
      <w:rFonts w:ascii="Tahoma" w:hAnsi="Tahoma" w:cs="Tahoma"/>
    </w:rPr>
  </w:style>
  <w:style w:type="character" w:styleId="1425" w:customStyle="1">
    <w:name w:val="Схема документа Знак"/>
    <w:basedOn w:val="1082"/>
    <w:link w:val="1424"/>
    <w:semiHidden/>
    <w:rPr>
      <w:rFonts w:ascii="Tahoma" w:hAnsi="Tahoma" w:cs="Tahoma"/>
      <w:sz w:val="20"/>
      <w:szCs w:val="20"/>
      <w:shd w:val="clear" w:color="auto" w:fill="000080"/>
    </w:rPr>
  </w:style>
  <w:style w:type="table" w:styleId="1426">
    <w:name w:val="Table List 1"/>
    <w:basedOn w:val="1083"/>
    <w:semiHidden/>
    <w:rPr>
      <w:sz w:val="20"/>
      <w:szCs w:val="20"/>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1427">
    <w:name w:val="Table List 2"/>
    <w:basedOn w:val="1083"/>
    <w:semiHidden/>
    <w:rPr>
      <w:sz w:val="20"/>
      <w:szCs w:val="20"/>
    </w:rPr>
    <w:tblPr>
      <w:tblStyleRowBandSize w:val="2"/>
      <w:tblBorders>
        <w:bottom w:val="single" w:color="808080" w:sz="12" w:space="0"/>
      </w:tblBorders>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1428">
    <w:name w:val="Table List 3"/>
    <w:basedOn w:val="1083"/>
    <w:semiHidden/>
    <w:rPr>
      <w:sz w:val="20"/>
      <w:szCs w:val="20"/>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1429">
    <w:name w:val="Table List 4"/>
    <w:basedOn w:val="1083"/>
    <w:semiHidden/>
    <w:rPr>
      <w:sz w:val="20"/>
      <w:szCs w:val="20"/>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shd w:val="solid" w:color="808080" w:fill="ffffff"/>
        <w:tcBorders>
          <w:bottom w:val="single" w:color="000000" w:sz="12" w:space="0"/>
        </w:tcBorders>
      </w:tcPr>
    </w:tblStylePr>
  </w:style>
  <w:style w:type="table" w:styleId="1430">
    <w:name w:val="Table List 5"/>
    <w:basedOn w:val="1083"/>
    <w:semiHidden/>
    <w:rPr>
      <w:sz w:val="20"/>
      <w:szCs w:val="20"/>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Col">
      <w:rPr>
        <w:b/>
        <w:bCs/>
      </w:rPr>
    </w:tblStylePr>
    <w:tblStylePr w:type="firstRow">
      <w:rPr>
        <w:b/>
        <w:bCs/>
      </w:rPr>
      <w:tcPr>
        <w:tcBorders>
          <w:bottom w:val="single" w:color="000000" w:sz="12" w:space="0"/>
        </w:tcBorders>
      </w:tcPr>
    </w:tblStylePr>
  </w:style>
  <w:style w:type="table" w:styleId="1431">
    <w:name w:val="Table List 6"/>
    <w:basedOn w:val="1083"/>
    <w:semiHidden/>
    <w:rPr>
      <w:sz w:val="20"/>
      <w:szCs w:val="20"/>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1432">
    <w:name w:val="Table List 7"/>
    <w:basedOn w:val="1083"/>
    <w:semiHidden/>
    <w:rPr>
      <w:sz w:val="20"/>
      <w:szCs w:val="20"/>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1433">
    <w:name w:val="Table List 8"/>
    <w:basedOn w:val="1083"/>
    <w:semiHidden/>
    <w:rPr>
      <w:sz w:val="20"/>
      <w:szCs w:val="20"/>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paragraph" w:styleId="1434">
    <w:name w:val="Plain Text"/>
    <w:basedOn w:val="1072"/>
    <w:link w:val="1435"/>
    <w:semiHidden/>
    <w:rPr>
      <w:rFonts w:ascii="Courier New" w:hAnsi="Courier New" w:cs="Courier New"/>
    </w:rPr>
  </w:style>
  <w:style w:type="character" w:styleId="1435" w:customStyle="1">
    <w:name w:val="Текст Знак"/>
    <w:basedOn w:val="1082"/>
    <w:link w:val="1434"/>
    <w:semiHidden/>
    <w:rPr>
      <w:rFonts w:ascii="Courier New" w:hAnsi="Courier New" w:cs="Courier New"/>
      <w:sz w:val="20"/>
      <w:szCs w:val="20"/>
    </w:rPr>
  </w:style>
  <w:style w:type="paragraph" w:styleId="1436">
    <w:name w:val="Balloon Text"/>
    <w:basedOn w:val="1072"/>
    <w:link w:val="1437"/>
    <w:semiHidden/>
    <w:rPr>
      <w:rFonts w:ascii="Tahoma" w:hAnsi="Tahoma" w:cs="Tahoma"/>
      <w:sz w:val="16"/>
      <w:szCs w:val="16"/>
    </w:rPr>
  </w:style>
  <w:style w:type="character" w:styleId="1437" w:customStyle="1">
    <w:name w:val="Текст выноски Знак"/>
    <w:basedOn w:val="1082"/>
    <w:link w:val="1436"/>
    <w:semiHidden/>
    <w:rPr>
      <w:rFonts w:ascii="Tahoma" w:hAnsi="Tahoma" w:cs="Tahoma"/>
      <w:sz w:val="16"/>
      <w:szCs w:val="16"/>
    </w:rPr>
  </w:style>
  <w:style w:type="paragraph" w:styleId="1438">
    <w:name w:val="annotation text"/>
    <w:basedOn w:val="1072"/>
    <w:link w:val="1439"/>
    <w:semiHidden/>
  </w:style>
  <w:style w:type="character" w:styleId="1439" w:customStyle="1">
    <w:name w:val="Текст примечания Знак"/>
    <w:link w:val="1438"/>
    <w:semiHidden/>
    <w:rPr>
      <w:sz w:val="20"/>
      <w:szCs w:val="20"/>
    </w:rPr>
  </w:style>
  <w:style w:type="paragraph" w:styleId="1440">
    <w:name w:val="footnote text"/>
    <w:link w:val="1441"/>
    <w:semiHidden/>
    <w:rPr>
      <w:sz w:val="20"/>
      <w:szCs w:val="20"/>
    </w:rPr>
  </w:style>
  <w:style w:type="character" w:styleId="1441" w:customStyle="1">
    <w:name w:val="Текст сноски Знак"/>
    <w:basedOn w:val="1082"/>
    <w:link w:val="1440"/>
    <w:semiHidden/>
    <w:rPr>
      <w:sz w:val="20"/>
      <w:szCs w:val="20"/>
    </w:rPr>
  </w:style>
  <w:style w:type="paragraph" w:styleId="1442">
    <w:name w:val="annotation subject"/>
    <w:basedOn w:val="1438"/>
    <w:next w:val="1438"/>
    <w:link w:val="1443"/>
    <w:semiHidden/>
    <w:rPr>
      <w:b/>
      <w:bCs/>
    </w:rPr>
  </w:style>
  <w:style w:type="character" w:styleId="1443" w:customStyle="1">
    <w:name w:val="Тема примечания Знак"/>
    <w:basedOn w:val="1439"/>
    <w:link w:val="1442"/>
    <w:semiHidden/>
    <w:rPr>
      <w:b/>
      <w:bCs/>
      <w:sz w:val="20"/>
      <w:szCs w:val="20"/>
    </w:rPr>
  </w:style>
  <w:style w:type="table" w:styleId="1444">
    <w:name w:val="Table Theme"/>
    <w:basedOn w:val="1083"/>
    <w:semiHidden/>
    <w:rPr>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445">
    <w:name w:val="index 1"/>
    <w:basedOn w:val="1072"/>
    <w:next w:val="1072"/>
    <w:semiHidden/>
    <w:pPr>
      <w:ind w:left="720" w:hanging="360"/>
      <w:spacing w:line="360" w:lineRule="auto"/>
      <w:widowControl w:val="off"/>
      <w:tabs>
        <w:tab w:val="num" w:pos="720" w:leader="none"/>
        <w:tab w:val="left" w:pos="1985" w:leader="none"/>
        <w:tab w:val="left" w:pos="2127" w:leader="none"/>
      </w:tabs>
    </w:pPr>
  </w:style>
  <w:style w:type="paragraph" w:styleId="1446">
    <w:name w:val="index heading"/>
    <w:basedOn w:val="1072"/>
    <w:next w:val="1445"/>
    <w:semiHidden/>
    <w:pPr>
      <w:ind w:firstLine="425"/>
      <w:spacing w:line="360" w:lineRule="auto"/>
      <w:widowControl w:val="off"/>
      <w:tabs>
        <w:tab w:val="left" w:pos="1985" w:leader="none"/>
        <w:tab w:val="left" w:pos="2127" w:leader="none"/>
      </w:tabs>
    </w:pPr>
  </w:style>
  <w:style w:type="paragraph" w:styleId="1447">
    <w:name w:val="index 2"/>
    <w:basedOn w:val="1072"/>
    <w:next w:val="1072"/>
    <w:semiHidden/>
    <w:pPr>
      <w:ind w:left="400" w:hanging="200"/>
      <w:spacing w:line="360" w:lineRule="auto"/>
      <w:widowControl w:val="off"/>
      <w:tabs>
        <w:tab w:val="left" w:pos="1985" w:leader="none"/>
        <w:tab w:val="left" w:pos="2127" w:leader="none"/>
      </w:tabs>
    </w:pPr>
  </w:style>
  <w:style w:type="paragraph" w:styleId="1448">
    <w:name w:val="index 3"/>
    <w:basedOn w:val="1072"/>
    <w:next w:val="1072"/>
    <w:semiHidden/>
    <w:pPr>
      <w:ind w:left="600" w:hanging="200"/>
      <w:spacing w:line="360" w:lineRule="auto"/>
      <w:widowControl w:val="off"/>
      <w:tabs>
        <w:tab w:val="left" w:pos="1985" w:leader="none"/>
        <w:tab w:val="left" w:pos="2127" w:leader="none"/>
      </w:tabs>
    </w:pPr>
  </w:style>
  <w:style w:type="paragraph" w:styleId="1449">
    <w:name w:val="index 4"/>
    <w:basedOn w:val="1072"/>
    <w:next w:val="1072"/>
    <w:semiHidden/>
    <w:pPr>
      <w:ind w:left="800" w:hanging="200"/>
      <w:spacing w:line="360" w:lineRule="auto"/>
      <w:widowControl w:val="off"/>
      <w:tabs>
        <w:tab w:val="left" w:pos="1985" w:leader="none"/>
        <w:tab w:val="left" w:pos="2127" w:leader="none"/>
      </w:tabs>
    </w:pPr>
  </w:style>
  <w:style w:type="paragraph" w:styleId="1450">
    <w:name w:val="index 5"/>
    <w:basedOn w:val="1072"/>
    <w:next w:val="1072"/>
    <w:semiHidden/>
    <w:pPr>
      <w:ind w:left="1000" w:hanging="200"/>
      <w:spacing w:line="360" w:lineRule="auto"/>
      <w:widowControl w:val="off"/>
      <w:tabs>
        <w:tab w:val="left" w:pos="1985" w:leader="none"/>
        <w:tab w:val="left" w:pos="2127" w:leader="none"/>
      </w:tabs>
    </w:pPr>
  </w:style>
  <w:style w:type="paragraph" w:styleId="1451">
    <w:name w:val="index 6"/>
    <w:basedOn w:val="1072"/>
    <w:next w:val="1072"/>
    <w:semiHidden/>
    <w:pPr>
      <w:ind w:left="1200" w:hanging="200"/>
      <w:spacing w:line="360" w:lineRule="auto"/>
      <w:widowControl w:val="off"/>
      <w:tabs>
        <w:tab w:val="left" w:pos="1985" w:leader="none"/>
        <w:tab w:val="left" w:pos="2127" w:leader="none"/>
      </w:tabs>
    </w:pPr>
  </w:style>
  <w:style w:type="paragraph" w:styleId="1452">
    <w:name w:val="index 7"/>
    <w:basedOn w:val="1072"/>
    <w:next w:val="1072"/>
    <w:semiHidden/>
    <w:pPr>
      <w:ind w:left="1400" w:hanging="200"/>
      <w:spacing w:line="360" w:lineRule="auto"/>
      <w:widowControl w:val="off"/>
      <w:tabs>
        <w:tab w:val="left" w:pos="1985" w:leader="none"/>
        <w:tab w:val="left" w:pos="2127" w:leader="none"/>
      </w:tabs>
    </w:pPr>
  </w:style>
  <w:style w:type="paragraph" w:styleId="1453">
    <w:name w:val="index 8"/>
    <w:basedOn w:val="1072"/>
    <w:next w:val="1072"/>
    <w:semiHidden/>
    <w:pPr>
      <w:ind w:left="1600" w:hanging="200"/>
      <w:spacing w:line="360" w:lineRule="auto"/>
      <w:widowControl w:val="off"/>
      <w:tabs>
        <w:tab w:val="left" w:pos="1985" w:leader="none"/>
        <w:tab w:val="left" w:pos="2127" w:leader="none"/>
      </w:tabs>
    </w:pPr>
  </w:style>
  <w:style w:type="paragraph" w:styleId="1454">
    <w:name w:val="index 9"/>
    <w:basedOn w:val="1072"/>
    <w:next w:val="1072"/>
    <w:semiHidden/>
    <w:pPr>
      <w:ind w:left="1800" w:hanging="200"/>
      <w:spacing w:line="360" w:lineRule="auto"/>
      <w:widowControl w:val="off"/>
      <w:tabs>
        <w:tab w:val="left" w:pos="1985" w:leader="none"/>
        <w:tab w:val="left" w:pos="2127" w:leader="none"/>
      </w:tabs>
    </w:pPr>
  </w:style>
  <w:style w:type="table" w:styleId="1455">
    <w:name w:val="Table Colorful 1"/>
    <w:basedOn w:val="1083"/>
    <w:semiHidden/>
    <w:rPr>
      <w:color w:val="ffffff"/>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1456">
    <w:name w:val="Table Colorful 2"/>
    <w:basedOn w:val="1083"/>
    <w:semiHidden/>
    <w:rPr>
      <w:sz w:val="20"/>
      <w:szCs w:val="20"/>
    </w:rPr>
    <w:tblPr>
      <w:tblBorders>
        <w:bottom w:val="single" w:color="000000" w:sz="12" w:space="0"/>
      </w:tblBorders>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1457">
    <w:name w:val="Table Colorful 3"/>
    <w:basedOn w:val="1083"/>
    <w:semiHidden/>
    <w:rPr>
      <w:sz w:val="20"/>
      <w:szCs w:val="20"/>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paragraph" w:styleId="1458">
    <w:name w:val="Block Text"/>
    <w:basedOn w:val="1072"/>
    <w:semiHidden/>
    <w:pPr>
      <w:ind w:left="1440" w:right="1440"/>
      <w:spacing w:after="120"/>
    </w:pPr>
  </w:style>
  <w:style w:type="character" w:styleId="1459">
    <w:name w:val="HTML Cite"/>
    <w:semiHidden/>
    <w:rPr>
      <w:i/>
      <w:iCs/>
    </w:rPr>
  </w:style>
  <w:style w:type="paragraph" w:styleId="1460">
    <w:name w:val="Message Header"/>
    <w:basedOn w:val="1072"/>
    <w:link w:val="1461"/>
    <w:semiHidden/>
    <w:pPr>
      <w:ind w:left="1134" w:hanging="1134"/>
      <w:shd w:val="pct20" w:color="auto" w:fill="auto"/>
      <w:pBdr>
        <w:top w:val="single" w:color="000000" w:sz="6" w:space="1"/>
        <w:left w:val="single" w:color="000000" w:sz="6" w:space="1"/>
        <w:bottom w:val="single" w:color="000000" w:sz="6" w:space="1"/>
        <w:right w:val="single" w:color="000000" w:sz="6" w:space="1"/>
      </w:pBdr>
    </w:pPr>
    <w:rPr>
      <w:rFonts w:ascii="Arial" w:hAnsi="Arial" w:cs="Arial"/>
    </w:rPr>
  </w:style>
  <w:style w:type="character" w:styleId="1461" w:customStyle="1">
    <w:name w:val="Шапка Знак"/>
    <w:basedOn w:val="1082"/>
    <w:link w:val="1460"/>
    <w:semiHidden/>
    <w:rPr>
      <w:rFonts w:ascii="Arial" w:hAnsi="Arial" w:cs="Arial"/>
      <w:sz w:val="20"/>
      <w:szCs w:val="20"/>
      <w:shd w:val="pct20" w:color="auto" w:fill="auto"/>
    </w:rPr>
  </w:style>
  <w:style w:type="paragraph" w:styleId="1462">
    <w:name w:val="E-mail Signature"/>
    <w:basedOn w:val="1072"/>
    <w:link w:val="1463"/>
    <w:semiHidden/>
  </w:style>
  <w:style w:type="character" w:styleId="1463" w:customStyle="1">
    <w:name w:val="Электронная подпись Знак"/>
    <w:basedOn w:val="1082"/>
    <w:link w:val="1462"/>
    <w:semiHidden/>
    <w:rPr>
      <w:sz w:val="20"/>
      <w:szCs w:val="20"/>
    </w:rPr>
  </w:style>
  <w:style w:type="paragraph" w:styleId="1464">
    <w:name w:val="endnote text"/>
    <w:basedOn w:val="1072"/>
    <w:link w:val="1465"/>
    <w:uiPriority w:val="99"/>
    <w:semiHidden/>
    <w:unhideWhenUsed/>
  </w:style>
  <w:style w:type="character" w:styleId="1465" w:customStyle="1">
    <w:name w:val="Текст концевой сноски Знак"/>
    <w:basedOn w:val="1082"/>
    <w:link w:val="1464"/>
    <w:uiPriority w:val="99"/>
    <w:semiHidden/>
    <w:rPr>
      <w:sz w:val="20"/>
      <w:szCs w:val="20"/>
    </w:rPr>
  </w:style>
  <w:style w:type="character" w:styleId="1466">
    <w:name w:val="endnote reference"/>
    <w:basedOn w:val="1082"/>
    <w:uiPriority w:val="99"/>
    <w:semiHidden/>
    <w:unhideWhenUsed/>
    <w:rPr>
      <w:vertAlign w:val="superscript"/>
    </w:rPr>
  </w:style>
  <w:style w:type="paragraph" w:styleId="1467">
    <w:name w:val="List Paragraph"/>
    <w:basedOn w:val="1072"/>
    <w:uiPriority w:val="34"/>
    <w:qFormat/>
    <w:pPr>
      <w:contextualSpacing/>
      <w:ind w:left="720" w:firstLine="0"/>
      <w:jc w:val="left"/>
    </w:pPr>
    <w:rPr>
      <w:rFonts w:eastAsiaTheme="minorHAnsi"/>
      <w:color w:val="000000"/>
      <w:sz w:val="24"/>
      <w:szCs w:val="24"/>
    </w:rPr>
  </w:style>
  <w:style w:type="paragraph" w:styleId="1468">
    <w:name w:val="Revision"/>
    <w:hidden/>
    <w:uiPriority w:val="99"/>
    <w:semiHidden/>
    <w:rPr>
      <w:sz w:val="20"/>
      <w:szCs w:val="20"/>
    </w:rPr>
  </w:style>
  <w:style w:type="paragraph" w:styleId="1469" w:customStyle="1">
    <w:name w:val="ConsPlusNormal"/>
    <w:rPr>
      <w:rFonts w:ascii="Arial" w:hAnsi="Arial" w:cs="Arial"/>
      <w:sz w:val="20"/>
      <w:szCs w:val="20"/>
    </w:rPr>
  </w:style>
  <w:style w:type="table" w:styleId="1470" w:customStyle="1">
    <w:name w:val="StGen1"/>
    <w:basedOn w:val="1244"/>
    <w:tblPr>
      <w:tblStyleRowBandSize w:val="1"/>
      <w:tblStyleColBandSize w:val="1"/>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customXml" Target="../customXml/item1.xml" /><Relationship Id="rId12" Type="http://schemas.openxmlformats.org/officeDocument/2006/relationships/customXml" Target="../customXml/item2.xml" /><Relationship Id="rId13" Type="http://schemas.openxmlformats.org/officeDocument/2006/relationships/customXml" Target="../customXml/item3.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ltCSXUDcV/TfBmkb0Zv+1gnDPBA==">AMUW2mVCrFjrow7GqElRf2rXON9wb5PjRQ5d1LwGfeKwgJjXtUosrxYJemNjkiAAV08C+KINHFOibgH7YcGJxfskAEsdyr0k+olM5hw9P92cBvOZFEiEz0OHBwgWl+KjbTFu+U2f5ePuPJrQjb2fjLAqzz4sDnQ55w==</go:docsCustomData>
</go:gDocsCustomXmlDataStorage>
</file>

<file path=customXml/item3.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41EE265-152C-40FF-9977-57ADA546A89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Application>Р7-Офис/2025.3.1.923</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Дранишникова Ирина Равильевна</dc:creator>
  <cp:lastModifiedBy>4180</cp:lastModifiedBy>
  <cp:revision>14</cp:revision>
  <dcterms:created xsi:type="dcterms:W3CDTF">2023-06-07T11:38:00Z</dcterms:created>
  <dcterms:modified xsi:type="dcterms:W3CDTF">2026-04-16T13:39:43Z</dcterms:modified>
</cp:coreProperties>
</file>